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F3287" w14:textId="1AE26D63" w:rsidR="00252134" w:rsidRPr="00252134" w:rsidRDefault="00252134" w:rsidP="00524E00">
      <w:pPr>
        <w:shd w:val="clear" w:color="auto" w:fill="FFFFFF"/>
        <w:spacing w:after="0" w:line="240" w:lineRule="auto"/>
        <w:outlineLvl w:val="0"/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</w:pPr>
      <w:r w:rsidRPr="00252134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 xml:space="preserve">PEER </w:t>
      </w:r>
      <w:r w:rsidR="00CD6F7F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 xml:space="preserve">TEACHING </w:t>
      </w:r>
      <w:r w:rsidRPr="00252134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>EVALUATION</w:t>
      </w:r>
      <w:r w:rsidR="005E6BA3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 xml:space="preserve"> GUIDELINE</w:t>
      </w:r>
      <w:r w:rsidRPr="00252134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 xml:space="preserve">S FOR </w:t>
      </w:r>
      <w:r w:rsidR="001B61F5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 xml:space="preserve">TENURE AND/OR </w:t>
      </w:r>
      <w:r w:rsidRPr="00252134">
        <w:rPr>
          <w:rFonts w:ascii="Roboto" w:eastAsia="Times New Roman" w:hAnsi="Roboto" w:cs="Times New Roman"/>
          <w:caps/>
          <w:color w:val="C9191C"/>
          <w:kern w:val="36"/>
          <w:sz w:val="54"/>
          <w:szCs w:val="54"/>
          <w14:ligatures w14:val="none"/>
        </w:rPr>
        <w:t>PROMOTION</w:t>
      </w:r>
    </w:p>
    <w:p w14:paraId="6536DED4" w14:textId="77777777" w:rsidR="00DF0705" w:rsidRDefault="00DF0705" w:rsidP="00DF0705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</w:pPr>
    </w:p>
    <w:p w14:paraId="44D22A34" w14:textId="75B96A7B" w:rsidR="00252134" w:rsidRPr="00252134" w:rsidRDefault="00252134" w:rsidP="00524E00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</w:pPr>
      <w:r w:rsidRPr="00252134"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>SUMMARY</w:t>
      </w:r>
    </w:p>
    <w:p w14:paraId="762996F4" w14:textId="77777777" w:rsidR="001B61F5" w:rsidRDefault="001B61F5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4DA9D978" w14:textId="048683C2" w:rsidR="00252134" w:rsidRPr="00252134" w:rsidRDefault="00101FDA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These guidelines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cover teaching evaluations </w:t>
      </w:r>
      <w:r w:rsidR="00FC3BE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for </w:t>
      </w:r>
      <w:r w:rsidR="008D57B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tenure-line and non-tenure-line </w:t>
      </w:r>
      <w:r w:rsidR="00FC3BE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faculty at all ranks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. Teaching evaluations are an important part of the promotion process. One goal of t</w:t>
      </w: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hese guidelines 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is to ensure </w:t>
      </w:r>
      <w:r w:rsidR="00CA7F92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there are </w:t>
      </w:r>
      <w:proofErr w:type="gramStart"/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a sufficient number of</w:t>
      </w:r>
      <w:proofErr w:type="gramEnd"/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written evaluations to accompany </w:t>
      </w:r>
      <w:r w:rsidR="00D11FD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tenure and/or 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promotion dossier</w:t>
      </w:r>
      <w:r w:rsidR="003A285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s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. </w:t>
      </w:r>
    </w:p>
    <w:p w14:paraId="6B385E38" w14:textId="77777777" w:rsidR="00DF0705" w:rsidRDefault="00DF0705" w:rsidP="00DF0705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</w:pPr>
    </w:p>
    <w:p w14:paraId="08089C80" w14:textId="7093A546" w:rsidR="00252134" w:rsidRPr="00252134" w:rsidRDefault="00252134" w:rsidP="00524E00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</w:pPr>
      <w:r w:rsidRPr="00252134"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>BACKGROUND</w:t>
      </w:r>
    </w:p>
    <w:p w14:paraId="4953C161" w14:textId="77777777" w:rsidR="001B61F5" w:rsidRDefault="001B61F5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4D688E0D" w14:textId="377958E8" w:rsidR="00252134" w:rsidRPr="00252134" w:rsidRDefault="00252134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To standardize a policy for the College of Earth and Mineral Sciences (EMS) and to provide consistent, robust teaching evaluations for </w:t>
      </w:r>
      <w:r w:rsidR="002A1DBA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tenure and/or 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promotion dossiers, the following are </w:t>
      </w:r>
      <w:r w:rsidR="007856FA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approved 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EMS guidelines</w:t>
      </w:r>
      <w:r w:rsidR="00452BD1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.</w:t>
      </w:r>
    </w:p>
    <w:p w14:paraId="7F153E23" w14:textId="77777777" w:rsidR="00DF0705" w:rsidRDefault="00DF0705" w:rsidP="00DF0705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</w:pPr>
    </w:p>
    <w:p w14:paraId="3F1E615D" w14:textId="4554954C" w:rsidR="00252134" w:rsidRPr="00252134" w:rsidRDefault="00101FDA" w:rsidP="00524E00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</w:pPr>
      <w:r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>GUIDELINES</w:t>
      </w:r>
      <w:r w:rsidRPr="00252134"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 xml:space="preserve"> </w:t>
      </w:r>
      <w:r w:rsidR="005B0AF5"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>AND</w:t>
      </w:r>
      <w:r w:rsidR="00252134" w:rsidRPr="00252134"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 xml:space="preserve"> PROCESS</w:t>
      </w:r>
    </w:p>
    <w:p w14:paraId="1D60A199" w14:textId="77777777" w:rsidR="001B61F5" w:rsidRDefault="001B61F5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0B8A020F" w14:textId="7E595DF5" w:rsidR="00252134" w:rsidRDefault="00252134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Within the AC23 guidelines, policy, and FAQs, there are references to “peers,” both as teaching evaluators and those serving on P&amp;T committees. While “peer” is never clearly defined within AC23 (guidelines, policy, and FAQs), for the purposes of peer teaching evaluations, we in EMS define a “peer” as </w:t>
      </w:r>
      <w:r w:rsidR="00B6384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an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other faculty</w:t>
      </w:r>
      <w:r w:rsidR="00B6384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member of </w:t>
      </w:r>
      <w:r w:rsidR="00A42E98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equal or</w:t>
      </w:r>
      <w:r w:rsidR="00B6384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higher rank</w:t>
      </w:r>
      <w:r w:rsidR="0085117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regardless of contract type</w:t>
      </w:r>
      <w:r w:rsidR="00C7706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(i.e., tenure-line or non-tenure-line)</w:t>
      </w:r>
      <w:r w:rsidR="0026698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who has </w:t>
      </w:r>
      <w:r w:rsidR="0093514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teaching as a significant part of their responsibilities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. </w:t>
      </w:r>
    </w:p>
    <w:p w14:paraId="53D26AB2" w14:textId="77777777" w:rsidR="00FC3F86" w:rsidRDefault="00FC3F86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281E681F" w14:textId="77777777" w:rsidR="006D0C89" w:rsidRDefault="009F0335" w:rsidP="005E58D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The relevant a</w:t>
      </w:r>
      <w:r w:rsidRPr="009F033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dministrator and </w:t>
      </w: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the </w:t>
      </w:r>
      <w:r w:rsidRPr="009F033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faculty member under review collaboratively choose </w:t>
      </w:r>
      <w:r w:rsidR="00305B5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peer </w:t>
      </w:r>
      <w:r w:rsidRPr="009F033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reviewers. </w:t>
      </w:r>
      <w:r w:rsidR="00311B26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Faculty members under review should have the opportunity to submit the names of potential reviewers. </w:t>
      </w:r>
      <w:r w:rsidR="0025149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The faculty member under review can reject a proposed reviewer after consultation with their administrator. </w:t>
      </w: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The f</w:t>
      </w:r>
      <w:r w:rsidRPr="009F033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inal selection is up to the administrator, ensuring consistent application of guidelines within ranks and appointment types.</w:t>
      </w:r>
      <w:r w:rsidR="005E58D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</w:p>
    <w:p w14:paraId="23D89F81" w14:textId="77777777" w:rsidR="006D0C89" w:rsidRDefault="006D0C89" w:rsidP="005E58D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517C17C9" w14:textId="35B9F4DB" w:rsidR="005E58DC" w:rsidRPr="005E58DC" w:rsidRDefault="005E58DC" w:rsidP="005E58D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5E58D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Reviewers can be selected from either within or outside of the unit</w:t>
      </w:r>
      <w:r w:rsidR="003E7BC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. </w:t>
      </w:r>
      <w:bookmarkStart w:id="0" w:name="_Hlk188007747"/>
      <w:r w:rsidR="00FC2B5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The administrator must</w:t>
      </w:r>
      <w:r w:rsidR="003E7BC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ensure </w:t>
      </w:r>
      <w:r w:rsidR="00FC2B5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that </w:t>
      </w:r>
      <w:r w:rsidR="003E7BC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at least one review is completed by a faculty member </w:t>
      </w:r>
      <w:r w:rsidR="000C7A8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with</w:t>
      </w:r>
      <w:r w:rsidR="003E7BC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expertise in</w:t>
      </w:r>
      <w:r w:rsidR="000C7A8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,</w:t>
      </w:r>
      <w:r w:rsidR="003E7BC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  <w:r w:rsidR="00B56FC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or who is familiar with, </w:t>
      </w:r>
      <w:r w:rsidR="003E7BC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the candidate’s discipline</w:t>
      </w:r>
      <w:r w:rsidRPr="005E58D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. </w:t>
      </w:r>
      <w:bookmarkEnd w:id="0"/>
      <w:r w:rsidRPr="005E58D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The content of each evaluation should include only evidence-based observations. That is, the assessment (i.e., evaluations and conclusions) should be based on corresponding evidence. </w:t>
      </w:r>
    </w:p>
    <w:p w14:paraId="0AFD6789" w14:textId="77777777" w:rsidR="00D125DA" w:rsidRPr="00252134" w:rsidRDefault="00D125DA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11931BA0" w14:textId="37D67500" w:rsidR="00C7669E" w:rsidRDefault="00790C13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Lecturers, assistant teaching professors, assistant professors</w:t>
      </w:r>
      <w:r w:rsidR="00EB6D0E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, </w:t>
      </w:r>
      <w:r w:rsidR="002B1A7E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associate teaching professors who have not yet attained their highest rank, </w:t>
      </w:r>
      <w:r w:rsidR="00EB6D0E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and associate professors </w:t>
      </w:r>
      <w:r w:rsidR="002B1A7E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with and </w:t>
      </w:r>
      <w:r w:rsidR="00EB6D0E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without tenure</w:t>
      </w:r>
      <w:r w:rsidR="00EB0938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must receive one peer teaching evaluation</w:t>
      </w:r>
      <w:r w:rsidR="00502C5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  <w:r w:rsidR="00C46A7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each year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. </w:t>
      </w:r>
      <w:r w:rsidR="00CA267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More than one </w:t>
      </w:r>
      <w:r w:rsidR="00013F29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peer teaching evaluation </w:t>
      </w:r>
      <w:r w:rsidR="00CA267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can be requested by the faculty member or scheduled by the department head if they believe it to be beneficial to the faculty member.</w:t>
      </w:r>
    </w:p>
    <w:p w14:paraId="137A9C0A" w14:textId="77777777" w:rsidR="00DF0705" w:rsidRDefault="00DF0705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2C3BED8B" w14:textId="6D41985A" w:rsidR="003E5833" w:rsidRDefault="00763164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Teaching </w:t>
      </w:r>
      <w:r w:rsidR="003E583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professors</w:t>
      </w:r>
      <w:r w:rsidR="0029502B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, professors of practice,</w:t>
      </w:r>
      <w:r w:rsidR="003E583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and professors </w:t>
      </w:r>
      <w:r w:rsidR="003E583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must receive </w:t>
      </w:r>
      <w:r w:rsidR="0011476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at least </w:t>
      </w:r>
      <w:proofErr w:type="gramStart"/>
      <w:r w:rsidR="003E583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one peer</w:t>
      </w:r>
      <w:proofErr w:type="gramEnd"/>
      <w:r w:rsidR="003E583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teaching evaluation every five years.</w:t>
      </w:r>
    </w:p>
    <w:p w14:paraId="3F663887" w14:textId="77777777" w:rsidR="00DF0705" w:rsidRDefault="00DF0705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58573824" w14:textId="4286E006" w:rsidR="00022393" w:rsidRDefault="00022393" w:rsidP="00DF0705">
      <w:pPr>
        <w:shd w:val="clear" w:color="auto" w:fill="FFFFFF"/>
        <w:spacing w:after="0" w:line="240" w:lineRule="auto"/>
        <w:rPr>
          <w:rFonts w:ascii="Roboto" w:eastAsia="Times New Roman" w:hAnsi="Roboto"/>
          <w:color w:val="000000"/>
          <w:sz w:val="27"/>
          <w:szCs w:val="27"/>
        </w:rPr>
      </w:pPr>
      <w:r w:rsidRPr="002C1F82">
        <w:rPr>
          <w:rFonts w:ascii="Roboto" w:eastAsia="Times New Roman" w:hAnsi="Roboto"/>
          <w:color w:val="000000"/>
          <w:sz w:val="27"/>
          <w:szCs w:val="27"/>
        </w:rPr>
        <w:t xml:space="preserve">Research faculty who </w:t>
      </w:r>
      <w:proofErr w:type="gramStart"/>
      <w:r w:rsidRPr="002C1F82">
        <w:rPr>
          <w:rFonts w:ascii="Roboto" w:eastAsia="Times New Roman" w:hAnsi="Roboto"/>
          <w:color w:val="000000"/>
          <w:sz w:val="27"/>
          <w:szCs w:val="27"/>
        </w:rPr>
        <w:t>teach</w:t>
      </w:r>
      <w:proofErr w:type="gramEnd"/>
      <w:r w:rsidRPr="002C1F82">
        <w:rPr>
          <w:rFonts w:ascii="Roboto" w:eastAsia="Times New Roman" w:hAnsi="Roboto"/>
          <w:color w:val="000000"/>
          <w:sz w:val="27"/>
          <w:szCs w:val="27"/>
        </w:rPr>
        <w:t xml:space="preserve"> should follow the guidelines for the</w:t>
      </w:r>
      <w:r w:rsidR="00731EAA">
        <w:rPr>
          <w:rFonts w:ascii="Roboto" w:eastAsia="Times New Roman" w:hAnsi="Roboto"/>
          <w:color w:val="000000"/>
          <w:sz w:val="27"/>
          <w:szCs w:val="27"/>
        </w:rPr>
        <w:t xml:space="preserve"> </w:t>
      </w:r>
      <w:r w:rsidRPr="002C1F82">
        <w:rPr>
          <w:rFonts w:ascii="Roboto" w:eastAsia="Times New Roman" w:hAnsi="Roboto"/>
          <w:color w:val="000000"/>
          <w:sz w:val="27"/>
          <w:szCs w:val="27"/>
        </w:rPr>
        <w:t>commensurate teaching faculty rank.</w:t>
      </w:r>
    </w:p>
    <w:p w14:paraId="4E7C5814" w14:textId="77777777" w:rsidR="00DF0705" w:rsidRPr="002C1F82" w:rsidRDefault="00DF0705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24F49444" w14:textId="7E36E129" w:rsidR="009B04F8" w:rsidRPr="00252134" w:rsidRDefault="009B04F8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Faculty members being evaluated will receive a copy of peer evaluations for their records along with eventual inclusion in the </w:t>
      </w:r>
      <w:r w:rsidR="006C6E2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tenure and/or 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promotion</w:t>
      </w:r>
      <w:r w:rsidR="00B372C1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dossier. These evaluations are to be shared with the faculty member by the department head. These </w:t>
      </w:r>
      <w:r w:rsidR="00DF070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evaluations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should be discussed as soon as possible, so that the faculty member has the most time available to make any necessary adjustments to their </w:t>
      </w:r>
      <w:proofErr w:type="gramStart"/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particular teaching</w:t>
      </w:r>
      <w:proofErr w:type="gramEnd"/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style/approach.</w:t>
      </w:r>
    </w:p>
    <w:p w14:paraId="33CFB7B6" w14:textId="02F87B0F" w:rsidR="00B07F45" w:rsidRPr="00252134" w:rsidRDefault="00B07F45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0EDDE474" w14:textId="4BD36AB1" w:rsidR="00252134" w:rsidRPr="00252134" w:rsidRDefault="00252134" w:rsidP="00524E00">
      <w:pPr>
        <w:shd w:val="clear" w:color="auto" w:fill="FFFFFF"/>
        <w:spacing w:after="0" w:line="240" w:lineRule="auto"/>
        <w:outlineLvl w:val="1"/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</w:pPr>
      <w:r w:rsidRPr="00252134"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>BEST PRACTICES AND RECOMMENDED PROCEDURE</w:t>
      </w:r>
      <w:r w:rsidR="00FE35CB"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 xml:space="preserve"> FOR PEER </w:t>
      </w:r>
      <w:r w:rsidR="009676AC">
        <w:rPr>
          <w:rFonts w:ascii="inherit" w:eastAsia="Times New Roman" w:hAnsi="inherit" w:cs="Times New Roman"/>
          <w:caps/>
          <w:color w:val="003087"/>
          <w:kern w:val="0"/>
          <w:sz w:val="39"/>
          <w:szCs w:val="39"/>
          <w14:ligatures w14:val="none"/>
        </w:rPr>
        <w:t>TEACHING EVALUATIONS</w:t>
      </w:r>
    </w:p>
    <w:p w14:paraId="79673CE4" w14:textId="77777777" w:rsidR="001B61F5" w:rsidRDefault="001B61F5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4A1CCA74" w14:textId="1A68D9EF" w:rsidR="00C055B3" w:rsidRDefault="00CB3DF9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CB3DF9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Penn State's research-based </w:t>
      </w:r>
      <w:hyperlink r:id="rId10" w:history="1">
        <w:r w:rsidRPr="0051700B">
          <w:rPr>
            <w:rStyle w:val="Hyperlink"/>
            <w:rFonts w:ascii="Roboto" w:eastAsia="Times New Roman" w:hAnsi="Roboto" w:cs="Times New Roman"/>
            <w:kern w:val="0"/>
            <w:sz w:val="27"/>
            <w:szCs w:val="27"/>
            <w14:ligatures w14:val="none"/>
          </w:rPr>
          <w:t>Elements of Effective Teaching</w:t>
        </w:r>
      </w:hyperlink>
      <w:r w:rsidRPr="00CB3DF9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should serve as a foundation for the peer review of teaching</w:t>
      </w:r>
      <w:r w:rsidR="008F424E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, and t</w:t>
      </w:r>
      <w:r w:rsidR="00937AB7" w:rsidRPr="00937AB7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he content of each evaluation should include only evidence-based observations</w:t>
      </w:r>
      <w:r w:rsidR="00C055B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with</w:t>
      </w:r>
      <w:r w:rsidR="00937AB7" w:rsidRPr="00937AB7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assessment (i.e., evaluations and conclusions) tied to corresponding evidence.</w:t>
      </w:r>
      <w:r w:rsidR="00ED5B78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</w:p>
    <w:p w14:paraId="003D30F8" w14:textId="77777777" w:rsidR="00C055B3" w:rsidRDefault="00C055B3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7191E438" w14:textId="3EA9E14B" w:rsidR="00252134" w:rsidRDefault="0084577F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Prior to </w:t>
      </w:r>
      <w:r w:rsidR="00263B6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a course visit</w:t>
      </w:r>
      <w:r w:rsidR="008256B6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, </w:t>
      </w:r>
      <w:r w:rsidR="00263B6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he course instructor</w:t>
      </w:r>
      <w:r w:rsidR="00576D48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completes the </w:t>
      </w:r>
      <w:hyperlink r:id="rId11" w:history="1">
        <w:r w:rsidR="00252134" w:rsidRPr="00576D48">
          <w:rPr>
            <w:rStyle w:val="Hyperlink"/>
            <w:rFonts w:ascii="Roboto" w:eastAsia="Times New Roman" w:hAnsi="Roboto" w:cs="Times New Roman"/>
            <w:kern w:val="0"/>
            <w:sz w:val="27"/>
            <w:szCs w:val="27"/>
            <w14:ligatures w14:val="none"/>
          </w:rPr>
          <w:t>Instructor Input Form</w:t>
        </w:r>
      </w:hyperlink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and meets with the </w:t>
      </w:r>
      <w:r w:rsidR="00727958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peer </w:t>
      </w:r>
      <w:r w:rsidR="00252134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reviewer to share that document and to convey additional contextual information about the course.</w:t>
      </w:r>
    </w:p>
    <w:p w14:paraId="0C67A207" w14:textId="77777777" w:rsidR="00DF0705" w:rsidRPr="00252134" w:rsidRDefault="00DF0705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04ED2D63" w14:textId="7ABB9E64" w:rsidR="00252134" w:rsidRDefault="00252134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The peer reviewer </w:t>
      </w:r>
      <w:r w:rsidR="00FA5A1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attends</w:t>
      </w:r>
      <w:r w:rsidR="00FA5A1D"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the course</w:t>
      </w:r>
      <w:r w:rsidR="00EF68F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if it is hybrid</w:t>
      </w:r>
      <w:r w:rsidR="00FA5A1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, remote synchronous,</w:t>
      </w:r>
      <w:r w:rsidR="00EF68F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or </w:t>
      </w:r>
      <w:r w:rsidR="00FA5A1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in person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. </w:t>
      </w:r>
      <w:r w:rsidR="00351A80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For </w:t>
      </w:r>
      <w:r w:rsidR="00FA5A1D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remote asynchronous</w:t>
      </w:r>
      <w:r w:rsidR="00351A80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courses, the peer reviewer examines the </w:t>
      </w:r>
      <w:r w:rsidR="00C20C7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course materials and online interactions. 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To facilitate the </w:t>
      </w:r>
      <w:r w:rsidR="00BC37FA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peer review and the 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generation of the letter of evaluation, the reviewer may wish to use the </w:t>
      </w:r>
      <w:hyperlink r:id="rId12" w:tgtFrame="_blank" w:history="1">
        <w:r w:rsidRPr="00252134">
          <w:rPr>
            <w:rFonts w:ascii="Roboto" w:eastAsia="Times New Roman" w:hAnsi="Roboto" w:cs="Times New Roman"/>
            <w:color w:val="337AB7"/>
            <w:kern w:val="0"/>
            <w:sz w:val="27"/>
            <w:szCs w:val="27"/>
            <w:u w:val="single"/>
            <w14:ligatures w14:val="none"/>
          </w:rPr>
          <w:t>Peer Review Guide for Face-to-Face and Hybrid Courses at Penn State</w:t>
        </w:r>
      </w:hyperlink>
      <w:r w:rsidR="006F5EBD">
        <w:rPr>
          <w:rFonts w:ascii="Roboto" w:eastAsia="Times New Roman" w:hAnsi="Roboto" w:cs="Times New Roman"/>
          <w:color w:val="337AB7"/>
          <w:kern w:val="0"/>
          <w:sz w:val="27"/>
          <w:szCs w:val="27"/>
          <w:u w:val="single"/>
          <w14:ligatures w14:val="none"/>
        </w:rPr>
        <w:t xml:space="preserve"> </w:t>
      </w:r>
      <w:r w:rsidR="006F5EBD" w:rsidRPr="00121CC0">
        <w:rPr>
          <w:rFonts w:ascii="Roboto" w:eastAsia="Times New Roman" w:hAnsi="Roboto" w:cs="Times New Roman"/>
          <w:kern w:val="0"/>
          <w:sz w:val="27"/>
          <w:szCs w:val="27"/>
          <w14:ligatures w14:val="none"/>
        </w:rPr>
        <w:t>or the</w:t>
      </w:r>
      <w:r w:rsidR="006F5EBD" w:rsidRPr="00121CC0">
        <w:rPr>
          <w:rFonts w:ascii="Roboto" w:eastAsia="Times New Roman" w:hAnsi="Roboto" w:cs="Times New Roman"/>
          <w:kern w:val="0"/>
          <w:sz w:val="27"/>
          <w:szCs w:val="27"/>
          <w:u w:val="single"/>
          <w14:ligatures w14:val="none"/>
        </w:rPr>
        <w:t xml:space="preserve"> </w:t>
      </w:r>
      <w:hyperlink r:id="rId13" w:history="1">
        <w:r w:rsidR="00CE17F7" w:rsidRPr="00CE17F7">
          <w:rPr>
            <w:rStyle w:val="Hyperlink"/>
            <w:rFonts w:ascii="Roboto" w:eastAsia="Times New Roman" w:hAnsi="Roboto" w:cs="Times New Roman"/>
            <w:kern w:val="0"/>
            <w:sz w:val="27"/>
            <w:szCs w:val="27"/>
            <w14:ligatures w14:val="none"/>
          </w:rPr>
          <w:t>Peer Review Guide for Online Teaching at Penn State</w:t>
        </w:r>
      </w:hyperlink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. </w:t>
      </w:r>
      <w:r w:rsidR="00C055B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T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he reviewer will be observing how well the instructor addresses </w:t>
      </w:r>
      <w:r w:rsidR="007252D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the </w:t>
      </w:r>
      <w:r w:rsidR="00C055B3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Elements of Effective Teaching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. The reviewer will then note the instructor’s strengths and areas for improvement. </w:t>
      </w:r>
    </w:p>
    <w:p w14:paraId="52D7AEBF" w14:textId="77777777" w:rsidR="00DF0705" w:rsidRPr="00252134" w:rsidRDefault="00DF0705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19F2D7F4" w14:textId="0AB85D4A" w:rsidR="00252134" w:rsidRDefault="00252134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The evaluation consists of a letter to the </w:t>
      </w:r>
      <w:r w:rsidR="004C11C7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relevant administrator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summarizing the feedback and comments from the peer review. The letter is then shared with the instructor and, as appropriate, added to the </w:t>
      </w:r>
      <w:r w:rsidR="001B61F5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tenure and/or promotion 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dossier.</w:t>
      </w:r>
    </w:p>
    <w:p w14:paraId="22221792" w14:textId="77777777" w:rsidR="00DF0705" w:rsidRPr="00252134" w:rsidRDefault="00DF0705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14536CD5" w14:textId="7992A0D9" w:rsidR="00252134" w:rsidRPr="00252134" w:rsidRDefault="00252134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While reviewers may wish to make handwritten notes during the evaluation, the formal review letter should be submitted in electronic form.</w:t>
      </w:r>
    </w:p>
    <w:p w14:paraId="01827B64" w14:textId="77777777" w:rsidR="00AE507F" w:rsidRDefault="00AE507F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7C20CD7A" w14:textId="77777777" w:rsidR="00AE507F" w:rsidRDefault="00AE507F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42CF1C5D" w14:textId="77777777" w:rsidR="00AE507F" w:rsidRDefault="00AE507F" w:rsidP="00DF070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</w:p>
    <w:p w14:paraId="43EA3819" w14:textId="5DDF9634" w:rsidR="004B0E35" w:rsidRDefault="004B0E35" w:rsidP="00524E0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</w:pP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Policy </w:t>
      </w:r>
      <w:r w:rsidR="00AE507F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updated</w:t>
      </w:r>
      <w:r w:rsidRPr="00252134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 xml:space="preserve"> by the EMS Executive Council on </w:t>
      </w:r>
      <w:r w:rsidR="00555E3C">
        <w:rPr>
          <w:rFonts w:ascii="Roboto" w:eastAsia="Times New Roman" w:hAnsi="Roboto" w:cs="Times New Roman"/>
          <w:color w:val="1D1B1B"/>
          <w:kern w:val="0"/>
          <w:sz w:val="27"/>
          <w:szCs w:val="27"/>
          <w14:ligatures w14:val="none"/>
        </w:rPr>
        <w:t>April 30, 2024</w:t>
      </w:r>
    </w:p>
    <w:p w14:paraId="0E6FC3C0" w14:textId="05FB536C" w:rsidR="001E4DEB" w:rsidRPr="00DE6A52" w:rsidRDefault="00DE6A52" w:rsidP="00524E00">
      <w:pPr>
        <w:spacing w:after="0" w:line="240" w:lineRule="auto"/>
        <w:rPr>
          <w:rFonts w:ascii="Roboto" w:hAnsi="Roboto"/>
          <w:sz w:val="27"/>
          <w:szCs w:val="27"/>
        </w:rPr>
      </w:pPr>
      <w:r w:rsidRPr="00DE6A52">
        <w:rPr>
          <w:rFonts w:ascii="Roboto" w:hAnsi="Roboto"/>
          <w:sz w:val="27"/>
          <w:szCs w:val="27"/>
        </w:rPr>
        <w:t xml:space="preserve">Policy reviewed and changes accepted by EMS Executive Council on </w:t>
      </w:r>
      <w:r w:rsidR="00067406">
        <w:rPr>
          <w:rFonts w:ascii="Roboto" w:hAnsi="Roboto"/>
          <w:sz w:val="27"/>
          <w:szCs w:val="27"/>
        </w:rPr>
        <w:t>February 4, 2025</w:t>
      </w:r>
    </w:p>
    <w:sectPr w:rsidR="001E4DEB" w:rsidRPr="00DE6A5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9FA72" w14:textId="77777777" w:rsidR="005F41F7" w:rsidRDefault="005F41F7" w:rsidP="00CA7F92">
      <w:pPr>
        <w:spacing w:after="0" w:line="240" w:lineRule="auto"/>
      </w:pPr>
      <w:r>
        <w:separator/>
      </w:r>
    </w:p>
  </w:endnote>
  <w:endnote w:type="continuationSeparator" w:id="0">
    <w:p w14:paraId="2759BEE9" w14:textId="77777777" w:rsidR="005F41F7" w:rsidRDefault="005F41F7" w:rsidP="00CA7F92">
      <w:pPr>
        <w:spacing w:after="0" w:line="240" w:lineRule="auto"/>
      </w:pPr>
      <w:r>
        <w:continuationSeparator/>
      </w:r>
    </w:p>
  </w:endnote>
  <w:endnote w:type="continuationNotice" w:id="1">
    <w:p w14:paraId="782EACAB" w14:textId="77777777" w:rsidR="005F41F7" w:rsidRDefault="005F41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828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DCB9C" w14:textId="6E55053A" w:rsidR="00CA7F92" w:rsidRDefault="00CA7F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D0C36" w14:textId="77777777" w:rsidR="00CA7F92" w:rsidRDefault="00CA7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2D82F" w14:textId="77777777" w:rsidR="005F41F7" w:rsidRDefault="005F41F7" w:rsidP="00CA7F92">
      <w:pPr>
        <w:spacing w:after="0" w:line="240" w:lineRule="auto"/>
      </w:pPr>
      <w:r>
        <w:separator/>
      </w:r>
    </w:p>
  </w:footnote>
  <w:footnote w:type="continuationSeparator" w:id="0">
    <w:p w14:paraId="640F128F" w14:textId="77777777" w:rsidR="005F41F7" w:rsidRDefault="005F41F7" w:rsidP="00CA7F92">
      <w:pPr>
        <w:spacing w:after="0" w:line="240" w:lineRule="auto"/>
      </w:pPr>
      <w:r>
        <w:continuationSeparator/>
      </w:r>
    </w:p>
  </w:footnote>
  <w:footnote w:type="continuationNotice" w:id="1">
    <w:p w14:paraId="2C7E7617" w14:textId="77777777" w:rsidR="005F41F7" w:rsidRDefault="005F41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96A73"/>
    <w:multiLevelType w:val="multilevel"/>
    <w:tmpl w:val="265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B472A3"/>
    <w:multiLevelType w:val="multilevel"/>
    <w:tmpl w:val="476098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E8B7D67"/>
    <w:multiLevelType w:val="multilevel"/>
    <w:tmpl w:val="64B2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4135088">
    <w:abstractNumId w:val="2"/>
  </w:num>
  <w:num w:numId="2" w16cid:durableId="1605308575">
    <w:abstractNumId w:val="0"/>
  </w:num>
  <w:num w:numId="3" w16cid:durableId="601305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34"/>
    <w:rsid w:val="00013F29"/>
    <w:rsid w:val="00022393"/>
    <w:rsid w:val="000359B4"/>
    <w:rsid w:val="00044163"/>
    <w:rsid w:val="00066CFE"/>
    <w:rsid w:val="00067406"/>
    <w:rsid w:val="000717D8"/>
    <w:rsid w:val="00082354"/>
    <w:rsid w:val="000B7FCD"/>
    <w:rsid w:val="000C7A84"/>
    <w:rsid w:val="000F22D3"/>
    <w:rsid w:val="00101FDA"/>
    <w:rsid w:val="00114765"/>
    <w:rsid w:val="0011747E"/>
    <w:rsid w:val="00121CC0"/>
    <w:rsid w:val="00156C05"/>
    <w:rsid w:val="001B4D73"/>
    <w:rsid w:val="001B61F5"/>
    <w:rsid w:val="001E2A90"/>
    <w:rsid w:val="001E3DEB"/>
    <w:rsid w:val="001E4DEB"/>
    <w:rsid w:val="001F01C1"/>
    <w:rsid w:val="00224B27"/>
    <w:rsid w:val="00234302"/>
    <w:rsid w:val="00251494"/>
    <w:rsid w:val="00252134"/>
    <w:rsid w:val="00263B6F"/>
    <w:rsid w:val="00266985"/>
    <w:rsid w:val="002914E5"/>
    <w:rsid w:val="0029502B"/>
    <w:rsid w:val="00295103"/>
    <w:rsid w:val="002A1DBA"/>
    <w:rsid w:val="002B1A7E"/>
    <w:rsid w:val="002B6BC8"/>
    <w:rsid w:val="002C1F82"/>
    <w:rsid w:val="002C7776"/>
    <w:rsid w:val="002F16FF"/>
    <w:rsid w:val="00305B53"/>
    <w:rsid w:val="00306691"/>
    <w:rsid w:val="00311B26"/>
    <w:rsid w:val="00343BA6"/>
    <w:rsid w:val="00351A80"/>
    <w:rsid w:val="003838AD"/>
    <w:rsid w:val="003839D3"/>
    <w:rsid w:val="003A04A5"/>
    <w:rsid w:val="003A2855"/>
    <w:rsid w:val="003E5833"/>
    <w:rsid w:val="003E5AEA"/>
    <w:rsid w:val="003E7BCF"/>
    <w:rsid w:val="00445469"/>
    <w:rsid w:val="0045160B"/>
    <w:rsid w:val="00452BD1"/>
    <w:rsid w:val="00484D0F"/>
    <w:rsid w:val="004878C3"/>
    <w:rsid w:val="004B0E35"/>
    <w:rsid w:val="004C11C7"/>
    <w:rsid w:val="004C4DCD"/>
    <w:rsid w:val="004D42EA"/>
    <w:rsid w:val="004D7142"/>
    <w:rsid w:val="005001B9"/>
    <w:rsid w:val="00502C55"/>
    <w:rsid w:val="00512D84"/>
    <w:rsid w:val="00513DD4"/>
    <w:rsid w:val="0051700B"/>
    <w:rsid w:val="005212F1"/>
    <w:rsid w:val="00524E00"/>
    <w:rsid w:val="00536A0D"/>
    <w:rsid w:val="005535C4"/>
    <w:rsid w:val="00555E3C"/>
    <w:rsid w:val="005678D6"/>
    <w:rsid w:val="00576D48"/>
    <w:rsid w:val="00583AB4"/>
    <w:rsid w:val="005B0AF5"/>
    <w:rsid w:val="005E58DC"/>
    <w:rsid w:val="005E6BA3"/>
    <w:rsid w:val="005E75EC"/>
    <w:rsid w:val="005F41F7"/>
    <w:rsid w:val="006150E2"/>
    <w:rsid w:val="006343A2"/>
    <w:rsid w:val="006377DC"/>
    <w:rsid w:val="006409CF"/>
    <w:rsid w:val="00670C0F"/>
    <w:rsid w:val="006C6E2D"/>
    <w:rsid w:val="006D0C89"/>
    <w:rsid w:val="006F5EBD"/>
    <w:rsid w:val="007252DF"/>
    <w:rsid w:val="00727958"/>
    <w:rsid w:val="00731EAA"/>
    <w:rsid w:val="00763164"/>
    <w:rsid w:val="007856FA"/>
    <w:rsid w:val="00790C13"/>
    <w:rsid w:val="007A288B"/>
    <w:rsid w:val="007C2D29"/>
    <w:rsid w:val="007C31DF"/>
    <w:rsid w:val="007C45FE"/>
    <w:rsid w:val="007F7774"/>
    <w:rsid w:val="00822471"/>
    <w:rsid w:val="008256B6"/>
    <w:rsid w:val="008302F1"/>
    <w:rsid w:val="00843944"/>
    <w:rsid w:val="0084577F"/>
    <w:rsid w:val="0084664D"/>
    <w:rsid w:val="0085117C"/>
    <w:rsid w:val="008D57BC"/>
    <w:rsid w:val="008E6FD2"/>
    <w:rsid w:val="008F424E"/>
    <w:rsid w:val="00925B6B"/>
    <w:rsid w:val="00935145"/>
    <w:rsid w:val="00937AB7"/>
    <w:rsid w:val="009676AC"/>
    <w:rsid w:val="009709BB"/>
    <w:rsid w:val="00975364"/>
    <w:rsid w:val="009A0D8A"/>
    <w:rsid w:val="009B04F8"/>
    <w:rsid w:val="009E5E98"/>
    <w:rsid w:val="009F0335"/>
    <w:rsid w:val="009F5A8E"/>
    <w:rsid w:val="00A262E3"/>
    <w:rsid w:val="00A41C77"/>
    <w:rsid w:val="00A42E98"/>
    <w:rsid w:val="00AC27BB"/>
    <w:rsid w:val="00AC6492"/>
    <w:rsid w:val="00AE507F"/>
    <w:rsid w:val="00AE675E"/>
    <w:rsid w:val="00AF3295"/>
    <w:rsid w:val="00B07F45"/>
    <w:rsid w:val="00B13FAC"/>
    <w:rsid w:val="00B372C1"/>
    <w:rsid w:val="00B56FC5"/>
    <w:rsid w:val="00B6384D"/>
    <w:rsid w:val="00B7729A"/>
    <w:rsid w:val="00BB19C4"/>
    <w:rsid w:val="00BC37FA"/>
    <w:rsid w:val="00BD2052"/>
    <w:rsid w:val="00BD3FCF"/>
    <w:rsid w:val="00BD7215"/>
    <w:rsid w:val="00BE65CD"/>
    <w:rsid w:val="00BF4419"/>
    <w:rsid w:val="00C055B3"/>
    <w:rsid w:val="00C17985"/>
    <w:rsid w:val="00C20C73"/>
    <w:rsid w:val="00C46A7D"/>
    <w:rsid w:val="00C50956"/>
    <w:rsid w:val="00C50E34"/>
    <w:rsid w:val="00C54A90"/>
    <w:rsid w:val="00C744C7"/>
    <w:rsid w:val="00C7669E"/>
    <w:rsid w:val="00C7706F"/>
    <w:rsid w:val="00C90946"/>
    <w:rsid w:val="00CA2674"/>
    <w:rsid w:val="00CA7F92"/>
    <w:rsid w:val="00CB3DF9"/>
    <w:rsid w:val="00CD00AA"/>
    <w:rsid w:val="00CD0F20"/>
    <w:rsid w:val="00CD6F7F"/>
    <w:rsid w:val="00CD7907"/>
    <w:rsid w:val="00CE17F7"/>
    <w:rsid w:val="00CF77BC"/>
    <w:rsid w:val="00CF7F90"/>
    <w:rsid w:val="00D116AD"/>
    <w:rsid w:val="00D11FDF"/>
    <w:rsid w:val="00D125DA"/>
    <w:rsid w:val="00D32CE6"/>
    <w:rsid w:val="00D541C3"/>
    <w:rsid w:val="00D55FD2"/>
    <w:rsid w:val="00DA0AF0"/>
    <w:rsid w:val="00DB53D0"/>
    <w:rsid w:val="00DB702E"/>
    <w:rsid w:val="00DE6A52"/>
    <w:rsid w:val="00DF0705"/>
    <w:rsid w:val="00E016FB"/>
    <w:rsid w:val="00E07197"/>
    <w:rsid w:val="00E07478"/>
    <w:rsid w:val="00E10375"/>
    <w:rsid w:val="00E3724E"/>
    <w:rsid w:val="00E4143A"/>
    <w:rsid w:val="00E60980"/>
    <w:rsid w:val="00E83F0C"/>
    <w:rsid w:val="00EA260F"/>
    <w:rsid w:val="00EB0777"/>
    <w:rsid w:val="00EB0938"/>
    <w:rsid w:val="00EB6D0E"/>
    <w:rsid w:val="00ED5B78"/>
    <w:rsid w:val="00EE0844"/>
    <w:rsid w:val="00EE1EAF"/>
    <w:rsid w:val="00EF68F5"/>
    <w:rsid w:val="00F61536"/>
    <w:rsid w:val="00F92537"/>
    <w:rsid w:val="00F937C8"/>
    <w:rsid w:val="00F94FE7"/>
    <w:rsid w:val="00FA41FB"/>
    <w:rsid w:val="00FA5A1D"/>
    <w:rsid w:val="00FC2B5C"/>
    <w:rsid w:val="00FC3BE4"/>
    <w:rsid w:val="00FC3F86"/>
    <w:rsid w:val="00FC7D5B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7741"/>
  <w15:chartTrackingRefBased/>
  <w15:docId w15:val="{23FCE007-F27B-4FE0-849B-83C705AC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2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1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52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5213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2134"/>
    <w:rPr>
      <w:i/>
      <w:iCs/>
    </w:rPr>
  </w:style>
  <w:style w:type="paragraph" w:styleId="Revision">
    <w:name w:val="Revision"/>
    <w:hidden/>
    <w:uiPriority w:val="99"/>
    <w:semiHidden/>
    <w:rsid w:val="00A262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92"/>
  </w:style>
  <w:style w:type="paragraph" w:styleId="Footer">
    <w:name w:val="footer"/>
    <w:basedOn w:val="Normal"/>
    <w:link w:val="FooterChar"/>
    <w:uiPriority w:val="99"/>
    <w:unhideWhenUsed/>
    <w:rsid w:val="00CA7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92"/>
  </w:style>
  <w:style w:type="character" w:styleId="UnresolvedMention">
    <w:name w:val="Unresolved Mention"/>
    <w:basedOn w:val="DefaultParagraphFont"/>
    <w:uiPriority w:val="99"/>
    <w:semiHidden/>
    <w:unhideWhenUsed/>
    <w:rsid w:val="005170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700B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4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1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1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7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5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58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7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65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03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5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3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1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9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1964795">
              <w:marLeft w:val="0"/>
              <w:marRight w:val="0"/>
              <w:marTop w:val="0"/>
              <w:marBottom w:val="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7564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11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1418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8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5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3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9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126847">
          <w:marLeft w:val="0"/>
          <w:marRight w:val="0"/>
          <w:marTop w:val="0"/>
          <w:marBottom w:val="0"/>
          <w:divBdr>
            <w:top w:val="single" w:sz="6" w:space="0" w:color="DDDDDD"/>
            <w:left w:val="none" w:sz="0" w:space="0" w:color="auto"/>
            <w:bottom w:val="single" w:sz="6" w:space="23" w:color="CCCCCC"/>
            <w:right w:val="none" w:sz="0" w:space="0" w:color="auto"/>
          </w:divBdr>
          <w:divsChild>
            <w:div w:id="12442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95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4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00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3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75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02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7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9840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0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5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3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74857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acdev.e-education.psu.edu/sites/default/files/files/PeerReview_OnlineCourses_PSU_Guide_November2022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acdev.e-education.psu.edu/evaluate-revise/peerreviewhybr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acdev.e-education.psu.edu/sites/default/files/files/PeerReview_HybridCourses_PSU_InstructorInput_November_2022.doc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chreyerinstitute.psu.edu/assessment_of_teaching/elements_of_effective_teach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8" ma:contentTypeDescription="Create a new document." ma:contentTypeScope="" ma:versionID="bff74cdcd0ad926250062d6819776918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c4dba29b13133ed6b67650226ee560e2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1cb50-daf7-48c9-be60-f9ff6b6633aa" xsi:nil="true"/>
    <lcf76f155ced4ddcb4097134ff3c332f xmlns="f4314f42-8d66-45d7-a590-fb54340608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DF60BB-1326-44EE-87B0-6D27644A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02EF3-461A-4CF9-820F-0450DB9DF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F7DB9-9077-4FF5-B5D3-D04D9812C27D}">
  <ds:schemaRefs>
    <ds:schemaRef ds:uri="http://schemas.microsoft.com/office/2006/metadata/properties"/>
    <ds:schemaRef ds:uri="http://schemas.microsoft.com/office/infopath/2007/PartnerControls"/>
    <ds:schemaRef ds:uri="b7f1cb50-daf7-48c9-be60-f9ff6b6633aa"/>
    <ds:schemaRef ds:uri="f4314f42-8d66-45d7-a590-fb54340608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Kiver, Nicola Marie</dc:creator>
  <cp:keywords/>
  <dc:description/>
  <cp:lastModifiedBy>Kiver, Nicola</cp:lastModifiedBy>
  <cp:revision>9</cp:revision>
  <dcterms:created xsi:type="dcterms:W3CDTF">2025-01-17T19:28:00Z</dcterms:created>
  <dcterms:modified xsi:type="dcterms:W3CDTF">2025-02-04T17:40:00Z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0x010100DF00C4AF76F33C4EB64A9780A2FDA46F</vt:lpwstr>
  </property>
  <property fmtid="{D5CDD505-2E9C-101B-9397-08002B2CF9AE}" pid="3" name="MediaServiceImageTags">
    <vt:lpwstr/>
  </property>
</Properties>
</file>