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A3D4" w14:textId="77777777" w:rsidR="00B16546" w:rsidRDefault="00B16546" w:rsidP="002713EB">
      <w:pPr>
        <w:spacing w:after="240" w:line="240" w:lineRule="auto"/>
        <w:contextualSpacing/>
        <w:rPr>
          <w:rFonts w:eastAsia="Times New Roman" w:cs="Times New Roman"/>
          <w:b/>
          <w:caps/>
          <w:color w:val="1E407C"/>
          <w:spacing w:val="-10"/>
          <w:kern w:val="28"/>
          <w:sz w:val="44"/>
          <w:szCs w:val="56"/>
          <w14:ligatures w14:val="none"/>
        </w:rPr>
      </w:pPr>
    </w:p>
    <w:p w14:paraId="3F3FB71E" w14:textId="7C27F4BA" w:rsidR="005B1A99" w:rsidRPr="002713EB" w:rsidRDefault="005B1A99" w:rsidP="00CA2D14">
      <w:pPr>
        <w:pStyle w:val="Title"/>
        <w:rPr>
          <w:rFonts w:eastAsia="Times New Roman"/>
        </w:rPr>
      </w:pPr>
      <w:r w:rsidRPr="005B1A99">
        <w:rPr>
          <w:rFonts w:eastAsia="Times New Roman"/>
        </w:rPr>
        <w:t>PEER TEACHING EVALUATION GUIDELINES FOR TENURE AND/OR PROMOTION</w:t>
      </w:r>
    </w:p>
    <w:p w14:paraId="12E1874F" w14:textId="77777777" w:rsidR="00EB34FB" w:rsidRPr="008C53CF" w:rsidRDefault="00EB34FB" w:rsidP="00202BCD">
      <w:pPr>
        <w:pStyle w:val="Heading1"/>
        <w:rPr>
          <w:rFonts w:eastAsia="Times New Roman"/>
        </w:rPr>
      </w:pPr>
      <w:r w:rsidRPr="008C53CF">
        <w:rPr>
          <w:rFonts w:eastAsia="Times New Roman"/>
        </w:rPr>
        <w:t>SUMMARY</w:t>
      </w:r>
    </w:p>
    <w:p w14:paraId="314CF879" w14:textId="77777777" w:rsidR="002C0F5A" w:rsidRDefault="002C0F5A" w:rsidP="002713EB">
      <w:pPr>
        <w:keepNext/>
        <w:keepLines/>
        <w:spacing w:before="240" w:after="120" w:line="240" w:lineRule="auto"/>
        <w:outlineLvl w:val="1"/>
        <w:rPr>
          <w:rFonts w:eastAsia="Calibri" w:cs="Times New Roman"/>
          <w:kern w:val="0"/>
          <w:szCs w:val="22"/>
          <w14:ligatures w14:val="none"/>
        </w:rPr>
      </w:pPr>
      <w:r w:rsidRPr="002C0F5A">
        <w:rPr>
          <w:rFonts w:eastAsia="Calibri" w:cs="Times New Roman"/>
          <w:kern w:val="0"/>
          <w:szCs w:val="22"/>
          <w14:ligatures w14:val="none"/>
        </w:rPr>
        <w:t xml:space="preserve">These guidelines cover teaching evaluations for tenure-line and non-tenure-line faculty at all ranks. Teaching evaluations are an important part of the promotion process. One goal of these guidelines is to ensure there are </w:t>
      </w:r>
      <w:proofErr w:type="gramStart"/>
      <w:r w:rsidRPr="002C0F5A">
        <w:rPr>
          <w:rFonts w:eastAsia="Calibri" w:cs="Times New Roman"/>
          <w:kern w:val="0"/>
          <w:szCs w:val="22"/>
          <w14:ligatures w14:val="none"/>
        </w:rPr>
        <w:t>a sufficient number of</w:t>
      </w:r>
      <w:proofErr w:type="gramEnd"/>
      <w:r w:rsidRPr="002C0F5A">
        <w:rPr>
          <w:rFonts w:eastAsia="Calibri" w:cs="Times New Roman"/>
          <w:kern w:val="0"/>
          <w:szCs w:val="22"/>
          <w14:ligatures w14:val="none"/>
        </w:rPr>
        <w:t xml:space="preserve"> written evaluations to accompany tenure and/or promotion dossiers. </w:t>
      </w:r>
    </w:p>
    <w:p w14:paraId="5BEA6144" w14:textId="77777777" w:rsidR="00A41036" w:rsidRPr="008C53CF" w:rsidRDefault="00A41036" w:rsidP="00F7574C">
      <w:pPr>
        <w:pStyle w:val="Heading1"/>
        <w:rPr>
          <w:rFonts w:eastAsia="Times New Roman"/>
        </w:rPr>
      </w:pPr>
      <w:r w:rsidRPr="008C53CF">
        <w:rPr>
          <w:rFonts w:eastAsia="Times New Roman"/>
        </w:rPr>
        <w:t>BACKGROUND</w:t>
      </w:r>
    </w:p>
    <w:p w14:paraId="1F4032D7" w14:textId="77777777" w:rsidR="00BC50F3" w:rsidRDefault="00BC50F3" w:rsidP="002713EB">
      <w:pPr>
        <w:keepNext/>
        <w:keepLines/>
        <w:spacing w:before="240" w:after="120" w:line="240" w:lineRule="auto"/>
        <w:outlineLvl w:val="1"/>
        <w:rPr>
          <w:rFonts w:eastAsia="Calibri" w:cs="Times New Roman"/>
          <w:kern w:val="0"/>
          <w:szCs w:val="22"/>
          <w14:ligatures w14:val="none"/>
        </w:rPr>
      </w:pPr>
      <w:r w:rsidRPr="00BC50F3">
        <w:rPr>
          <w:rFonts w:eastAsia="Calibri" w:cs="Times New Roman"/>
          <w:kern w:val="0"/>
          <w:szCs w:val="22"/>
          <w14:ligatures w14:val="none"/>
        </w:rPr>
        <w:t>To standardize a policy for the College of Earth and Mineral Sciences (EMS) and to provide consistent, robust teaching evaluations for tenure and/or promotion dossiers, the following are approved EMS guidelines.</w:t>
      </w:r>
    </w:p>
    <w:p w14:paraId="7D2A51DC" w14:textId="77777777" w:rsidR="002E37A5" w:rsidRPr="008C53CF" w:rsidRDefault="002E37A5" w:rsidP="00F7574C">
      <w:pPr>
        <w:pStyle w:val="Heading1"/>
        <w:rPr>
          <w:rFonts w:eastAsia="Times New Roman"/>
        </w:rPr>
      </w:pPr>
      <w:r w:rsidRPr="008C53CF">
        <w:rPr>
          <w:rFonts w:eastAsia="Times New Roman"/>
        </w:rPr>
        <w:t>GUIDELINES AND PROCESS</w:t>
      </w:r>
    </w:p>
    <w:p w14:paraId="1A5F88F1" w14:textId="2F9DAAC0"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Within the AC23 guidelines, policy, and FAQs, there are references to “peers,” both as teaching evaluators and those serving on P&amp;T committees. While “peer” is never clearly defined within AC23 (guidelines, policy, and FAQs), for the purposes of peer teaching evaluations, we in EMS define a “peer” as another faculty member of equal or higher rank regardless of contract type (i.e., tenure-line or non-tenure-line) who has teaching as a significant part of their responsibilities. </w:t>
      </w:r>
    </w:p>
    <w:p w14:paraId="6EB2794A" w14:textId="6430F243"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The relevant administrator and the faculty member under review collaboratively choose peer reviewers. Faculty members under review should have the opportunity to submit the names of potential reviewers. The faculty member under review can reject a proposed reviewer after consultation with their administrator. The final selection is up to the administrator, ensuring consistent application of guidelines within ranks and appointment types. </w:t>
      </w:r>
    </w:p>
    <w:p w14:paraId="7AE7175A" w14:textId="5161FCD8"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Reviewers can be selected from either within or outside of the unit. The administrator must ensure that at least one review is completed by a faculty member with expertise in, or who is familiar with, the candidate’s discipline. The content of each evaluation should include only evidence-based observations. That is, the </w:t>
      </w:r>
      <w:r w:rsidRPr="008D6CB5">
        <w:rPr>
          <w:rFonts w:eastAsia="Calibri" w:cs="Times New Roman"/>
          <w:kern w:val="0"/>
          <w:szCs w:val="22"/>
          <w14:ligatures w14:val="none"/>
        </w:rPr>
        <w:lastRenderedPageBreak/>
        <w:t xml:space="preserve">assessment (i.e., evaluations and conclusions) should be based on corresponding evidence. </w:t>
      </w:r>
    </w:p>
    <w:p w14:paraId="286B6FD1" w14:textId="08245EF9"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Lecturers, assistant teaching professors, assistant professors, associate teaching professors who have not yet attained their highest rank, and associate professors with and without tenure must receive one peer teaching evaluation each year. More than one peer teaching evaluation can be requested by the faculty member or scheduled by the department head if they believe it to be beneficial to the faculty member.</w:t>
      </w:r>
    </w:p>
    <w:p w14:paraId="62B4C71D" w14:textId="41CF42AD"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Teaching professors, professors of practice, and professors must receive at least </w:t>
      </w:r>
      <w:proofErr w:type="gramStart"/>
      <w:r w:rsidRPr="008D6CB5">
        <w:rPr>
          <w:rFonts w:eastAsia="Calibri" w:cs="Times New Roman"/>
          <w:kern w:val="0"/>
          <w:szCs w:val="22"/>
          <w14:ligatures w14:val="none"/>
        </w:rPr>
        <w:t>one peer</w:t>
      </w:r>
      <w:proofErr w:type="gramEnd"/>
      <w:r w:rsidRPr="008D6CB5">
        <w:rPr>
          <w:rFonts w:eastAsia="Calibri" w:cs="Times New Roman"/>
          <w:kern w:val="0"/>
          <w:szCs w:val="22"/>
          <w14:ligatures w14:val="none"/>
        </w:rPr>
        <w:t xml:space="preserve"> teaching evaluation every five years.</w:t>
      </w:r>
    </w:p>
    <w:p w14:paraId="6DF4F9CB" w14:textId="5C9CE8CC" w:rsidR="008D6CB5" w:rsidRPr="008D6CB5" w:rsidRDefault="008D6CB5" w:rsidP="00A71F13">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Research faculty who teach should follow the guidelines for the commensurate teaching faculty rank.</w:t>
      </w:r>
    </w:p>
    <w:p w14:paraId="56838577" w14:textId="77777777" w:rsidR="006F68DD" w:rsidRDefault="008D6CB5" w:rsidP="00F7574C">
      <w:pPr>
        <w:spacing w:before="240" w:after="120" w:line="240" w:lineRule="auto"/>
        <w:rPr>
          <w:rFonts w:eastAsia="Calibri" w:cs="Times New Roman"/>
          <w:kern w:val="0"/>
          <w:szCs w:val="22"/>
          <w14:ligatures w14:val="none"/>
        </w:rPr>
      </w:pPr>
      <w:r w:rsidRPr="008D6CB5">
        <w:rPr>
          <w:rFonts w:eastAsia="Calibri" w:cs="Times New Roman"/>
          <w:kern w:val="0"/>
          <w:szCs w:val="22"/>
          <w14:ligatures w14:val="none"/>
        </w:rPr>
        <w:t xml:space="preserve">Faculty members being evaluated will receive a copy of peer evaluations for their records along with eventual inclusion in the tenure and/or promotion dossier. These evaluations are to be shared with the faculty member by the department head. These evaluations should be discussed as soon as possible, so that the faculty member has the most time available to make any necessary adjustments to their </w:t>
      </w:r>
      <w:proofErr w:type="gramStart"/>
      <w:r w:rsidRPr="008D6CB5">
        <w:rPr>
          <w:rFonts w:eastAsia="Calibri" w:cs="Times New Roman"/>
          <w:kern w:val="0"/>
          <w:szCs w:val="22"/>
          <w14:ligatures w14:val="none"/>
        </w:rPr>
        <w:t>particular teaching</w:t>
      </w:r>
      <w:proofErr w:type="gramEnd"/>
      <w:r w:rsidRPr="008D6CB5">
        <w:rPr>
          <w:rFonts w:eastAsia="Calibri" w:cs="Times New Roman"/>
          <w:kern w:val="0"/>
          <w:szCs w:val="22"/>
          <w14:ligatures w14:val="none"/>
        </w:rPr>
        <w:t xml:space="preserve"> style/approach.</w:t>
      </w:r>
    </w:p>
    <w:p w14:paraId="244F4F9A" w14:textId="77777777" w:rsidR="006F68DD" w:rsidRDefault="008C53CF" w:rsidP="006F68DD">
      <w:pPr>
        <w:pStyle w:val="Heading1"/>
        <w:rPr>
          <w:rFonts w:eastAsia="Calibri" w:cs="Times New Roman"/>
          <w:kern w:val="0"/>
          <w:szCs w:val="22"/>
          <w14:ligatures w14:val="none"/>
        </w:rPr>
      </w:pPr>
      <w:r w:rsidRPr="008C53CF">
        <w:rPr>
          <w:rFonts w:eastAsia="Times New Roman"/>
        </w:rPr>
        <w:t>BEST PRACTICES AND RECOMMENDED PROCEDURE FOR PEER TEACHING EVALUATIONS</w:t>
      </w:r>
    </w:p>
    <w:p w14:paraId="6A688C4A" w14:textId="4E1F8612" w:rsidR="00B518D8" w:rsidRDefault="00B518D8" w:rsidP="00B518D8">
      <w:r w:rsidRPr="00CB3DF9">
        <w:t xml:space="preserve">Penn State's research-based </w:t>
      </w:r>
      <w:hyperlink r:id="rId10" w:history="1">
        <w:r w:rsidRPr="00A3155F">
          <w:rPr>
            <w:rStyle w:val="Hyperlink"/>
          </w:rPr>
          <w:t>Elements of Effective Teaching</w:t>
        </w:r>
      </w:hyperlink>
      <w:r w:rsidRPr="00CB3DF9">
        <w:t xml:space="preserve"> should serve as a foundation for the peer review of teaching</w:t>
      </w:r>
      <w:r>
        <w:t>, and t</w:t>
      </w:r>
      <w:r w:rsidRPr="00937AB7">
        <w:t>he content of each evaluation should include only evidence-based observations</w:t>
      </w:r>
      <w:r>
        <w:t xml:space="preserve"> with</w:t>
      </w:r>
      <w:r w:rsidRPr="00937AB7">
        <w:t xml:space="preserve"> assessment (i.e., evaluations and conclusions) tied to corresponding evidence.</w:t>
      </w:r>
      <w:r>
        <w:t xml:space="preserve"> </w:t>
      </w:r>
    </w:p>
    <w:p w14:paraId="3253CB34" w14:textId="2EAFE525" w:rsidR="00B518D8" w:rsidRPr="00252134" w:rsidRDefault="00B518D8" w:rsidP="00B518D8">
      <w:r>
        <w:t>Prior to a course visit, t</w:t>
      </w:r>
      <w:r w:rsidRPr="00252134">
        <w:t>he course instructor</w:t>
      </w:r>
      <w:r>
        <w:t xml:space="preserve"> </w:t>
      </w:r>
      <w:r w:rsidRPr="00252134">
        <w:t xml:space="preserve">completes </w:t>
      </w:r>
      <w:r w:rsidRPr="00A3155F">
        <w:rPr>
          <w:rStyle w:val="Hyperlink"/>
        </w:rPr>
        <w:t xml:space="preserve">the </w:t>
      </w:r>
      <w:hyperlink r:id="rId11" w:history="1">
        <w:r w:rsidRPr="00A3155F">
          <w:rPr>
            <w:rStyle w:val="Hyperlink"/>
          </w:rPr>
          <w:t>Instructor Input Form</w:t>
        </w:r>
      </w:hyperlink>
      <w:r w:rsidRPr="00252134">
        <w:t xml:space="preserve"> and meets with the </w:t>
      </w:r>
      <w:r>
        <w:t xml:space="preserve">peer </w:t>
      </w:r>
      <w:r w:rsidRPr="00252134">
        <w:t>reviewer to share that document and to convey additional contextual information about the course.</w:t>
      </w:r>
    </w:p>
    <w:p w14:paraId="57A9CE9B" w14:textId="546981F6" w:rsidR="00B518D8" w:rsidRPr="00252134" w:rsidRDefault="00B518D8" w:rsidP="00B518D8">
      <w:r w:rsidRPr="00252134">
        <w:t xml:space="preserve">The peer reviewer </w:t>
      </w:r>
      <w:r>
        <w:t>attends</w:t>
      </w:r>
      <w:r w:rsidRPr="00252134">
        <w:t xml:space="preserve"> the course</w:t>
      </w:r>
      <w:r>
        <w:t xml:space="preserve"> if it is hybrid, remote synchronous, or in person</w:t>
      </w:r>
      <w:r w:rsidRPr="00252134">
        <w:t xml:space="preserve">. </w:t>
      </w:r>
      <w:r>
        <w:t xml:space="preserve">For remote asynchronous courses, the peer reviewer examines the course materials and online interactions. </w:t>
      </w:r>
      <w:r w:rsidRPr="00252134">
        <w:t xml:space="preserve">To facilitate the </w:t>
      </w:r>
      <w:r>
        <w:t xml:space="preserve">peer review and the </w:t>
      </w:r>
      <w:r w:rsidRPr="00252134">
        <w:t xml:space="preserve">generation of the letter of evaluation, the reviewer may wish to use </w:t>
      </w:r>
      <w:r w:rsidRPr="00A3155F">
        <w:rPr>
          <w:rStyle w:val="Hyperlink"/>
        </w:rPr>
        <w:t>the </w:t>
      </w:r>
      <w:hyperlink r:id="rId12" w:tgtFrame="_blank" w:history="1">
        <w:r w:rsidRPr="00A3155F">
          <w:rPr>
            <w:rStyle w:val="Hyperlink"/>
          </w:rPr>
          <w:t>Peer Review Guide for Face-to-Face and Hybrid Courses at Penn State</w:t>
        </w:r>
      </w:hyperlink>
      <w:r>
        <w:rPr>
          <w:color w:val="337AB7"/>
          <w:u w:val="single"/>
        </w:rPr>
        <w:t xml:space="preserve"> </w:t>
      </w:r>
      <w:r w:rsidRPr="00121CC0">
        <w:t>or the</w:t>
      </w:r>
      <w:r w:rsidRPr="00121CC0">
        <w:rPr>
          <w:u w:val="single"/>
        </w:rPr>
        <w:t xml:space="preserve"> </w:t>
      </w:r>
      <w:hyperlink r:id="rId13" w:history="1">
        <w:r w:rsidRPr="00A3155F">
          <w:rPr>
            <w:rStyle w:val="Hyperlink"/>
          </w:rPr>
          <w:t>Peer Review Guide for Online Teaching at Penn State</w:t>
        </w:r>
      </w:hyperlink>
      <w:r w:rsidRPr="00A3155F">
        <w:rPr>
          <w:rStyle w:val="Hyperlink"/>
        </w:rPr>
        <w:t>.</w:t>
      </w:r>
      <w:r w:rsidRPr="00252134">
        <w:t xml:space="preserve"> </w:t>
      </w:r>
      <w:r>
        <w:t>T</w:t>
      </w:r>
      <w:r w:rsidRPr="00252134">
        <w:t xml:space="preserve">he reviewer will be observing how well the instructor addresses </w:t>
      </w:r>
      <w:r>
        <w:t>the Elements of Effective Teaching</w:t>
      </w:r>
      <w:r w:rsidRPr="00252134">
        <w:t xml:space="preserve">. The reviewer will then note the instructor’s strengths and areas for improvement. </w:t>
      </w:r>
    </w:p>
    <w:p w14:paraId="357D4641" w14:textId="04FED209" w:rsidR="00B518D8" w:rsidRPr="00252134" w:rsidRDefault="00B518D8" w:rsidP="00B518D8">
      <w:r w:rsidRPr="00252134">
        <w:lastRenderedPageBreak/>
        <w:t xml:space="preserve">The evaluation consists of a letter to the </w:t>
      </w:r>
      <w:r>
        <w:t>relevant administrator</w:t>
      </w:r>
      <w:r w:rsidRPr="00252134">
        <w:t xml:space="preserve"> summarizing the feedback and comments from the peer review. The letter is then shared with the instructor and, as appropriate, added to the </w:t>
      </w:r>
      <w:r>
        <w:t xml:space="preserve">tenure and/or promotion </w:t>
      </w:r>
      <w:r w:rsidRPr="00252134">
        <w:t>dossier.</w:t>
      </w:r>
    </w:p>
    <w:p w14:paraId="2EF210C0" w14:textId="03456AD6" w:rsidR="00B518D8" w:rsidRDefault="00B518D8" w:rsidP="00B518D8">
      <w:r w:rsidRPr="00252134">
        <w:t>While reviewers may wish to make handwritten notes during the evaluation, the formal review letter should be submitted in electronic form.</w:t>
      </w:r>
    </w:p>
    <w:p w14:paraId="24134B23" w14:textId="0AA14E1B" w:rsidR="00B518D8" w:rsidRPr="00B518D8" w:rsidRDefault="00B518D8" w:rsidP="00B518D8">
      <w:pPr>
        <w:rPr>
          <w:i/>
          <w:iCs/>
        </w:rPr>
      </w:pPr>
      <w:r w:rsidRPr="00B518D8">
        <w:rPr>
          <w:i/>
          <w:iCs/>
        </w:rPr>
        <w:t>Policy updated by the EMS Executive Council on April 30, 2024</w:t>
      </w:r>
      <w:r w:rsidRPr="00B518D8">
        <w:rPr>
          <w:i/>
          <w:iCs/>
        </w:rPr>
        <w:br/>
        <w:t>Policy</w:t>
      </w:r>
      <w:r w:rsidR="00A3155F">
        <w:rPr>
          <w:i/>
          <w:iCs/>
        </w:rPr>
        <w:t xml:space="preserve"> was</w:t>
      </w:r>
      <w:r w:rsidRPr="00B518D8">
        <w:rPr>
          <w:i/>
          <w:iCs/>
        </w:rPr>
        <w:t xml:space="preserve"> reviewed and changes accepted by EMS Executive Council on February 4, 2025</w:t>
      </w:r>
    </w:p>
    <w:p w14:paraId="75B2606B" w14:textId="77777777" w:rsidR="002713EB" w:rsidRDefault="002713EB" w:rsidP="00B518D8"/>
    <w:sectPr w:rsidR="002713EB" w:rsidSect="007C785E">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E79A" w14:textId="77777777" w:rsidR="00BC5BA5" w:rsidRDefault="00BC5BA5" w:rsidP="007C785E">
      <w:pPr>
        <w:spacing w:after="0" w:line="240" w:lineRule="auto"/>
      </w:pPr>
      <w:r>
        <w:separator/>
      </w:r>
    </w:p>
  </w:endnote>
  <w:endnote w:type="continuationSeparator" w:id="0">
    <w:p w14:paraId="1BF4BC9C" w14:textId="77777777" w:rsidR="00BC5BA5" w:rsidRDefault="00BC5BA5" w:rsidP="007C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0EA2" w14:textId="77777777" w:rsidR="00BC5BA5" w:rsidRDefault="00BC5BA5" w:rsidP="007C785E">
      <w:pPr>
        <w:spacing w:after="0" w:line="240" w:lineRule="auto"/>
      </w:pPr>
      <w:r>
        <w:separator/>
      </w:r>
    </w:p>
  </w:footnote>
  <w:footnote w:type="continuationSeparator" w:id="0">
    <w:p w14:paraId="4F9AE760" w14:textId="77777777" w:rsidR="00BC5BA5" w:rsidRDefault="00BC5BA5" w:rsidP="007C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1801" w14:textId="1E5D28DC" w:rsidR="007C785E" w:rsidRDefault="007C785E">
    <w:pPr>
      <w:pStyle w:val="Header"/>
    </w:pPr>
    <w:r>
      <w:rPr>
        <w:noProof/>
      </w:rPr>
      <w:drawing>
        <wp:inline distT="0" distB="0" distL="0" distR="0" wp14:anchorId="76F54EBE" wp14:editId="4B069364">
          <wp:extent cx="2152650" cy="695325"/>
          <wp:effectExtent l="0" t="0" r="0" b="0"/>
          <wp:docPr id="281730656"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30656" name="Picture 1" descr="College of Earth and Mineral Sciences wordmark"/>
                  <pic:cNvPicPr/>
                </pic:nvPicPr>
                <pic:blipFill rotWithShape="1">
                  <a:blip r:embed="rId1">
                    <a:extLst>
                      <a:ext uri="{28A0092B-C50C-407E-A947-70E740481C1C}">
                        <a14:useLocalDpi xmlns:a14="http://schemas.microsoft.com/office/drawing/2010/main" val="0"/>
                      </a:ext>
                    </a:extLst>
                  </a:blip>
                  <a:srcRect l="5450" t="14660" r="6566" b="13995"/>
                  <a:stretch/>
                </pic:blipFill>
                <pic:spPr bwMode="auto">
                  <a:xfrm>
                    <a:off x="0" y="0"/>
                    <a:ext cx="2166560" cy="6998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2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EB"/>
    <w:rsid w:val="00160B2D"/>
    <w:rsid w:val="001D0D67"/>
    <w:rsid w:val="00202BCD"/>
    <w:rsid w:val="002713EB"/>
    <w:rsid w:val="00293832"/>
    <w:rsid w:val="002C0F5A"/>
    <w:rsid w:val="002E37A5"/>
    <w:rsid w:val="00407493"/>
    <w:rsid w:val="005B1A99"/>
    <w:rsid w:val="006F68DD"/>
    <w:rsid w:val="007C785E"/>
    <w:rsid w:val="007E23E7"/>
    <w:rsid w:val="008C53CF"/>
    <w:rsid w:val="008D6CB5"/>
    <w:rsid w:val="009649BE"/>
    <w:rsid w:val="009C6055"/>
    <w:rsid w:val="00A3155F"/>
    <w:rsid w:val="00A41036"/>
    <w:rsid w:val="00A71F13"/>
    <w:rsid w:val="00AC6994"/>
    <w:rsid w:val="00B1423B"/>
    <w:rsid w:val="00B16546"/>
    <w:rsid w:val="00B518D8"/>
    <w:rsid w:val="00BC50F3"/>
    <w:rsid w:val="00BC5BA5"/>
    <w:rsid w:val="00BE14DD"/>
    <w:rsid w:val="00C90606"/>
    <w:rsid w:val="00CA2D14"/>
    <w:rsid w:val="00D01BF2"/>
    <w:rsid w:val="00E95D7B"/>
    <w:rsid w:val="00EB34FB"/>
    <w:rsid w:val="00F7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DD41F"/>
  <w15:chartTrackingRefBased/>
  <w15:docId w15:val="{8236245E-E8BD-49A4-BECD-60FA1DF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CD"/>
    <w:rPr>
      <w:rFonts w:ascii="Rockwell" w:hAnsi="Rockwell"/>
    </w:rPr>
  </w:style>
  <w:style w:type="paragraph" w:styleId="Heading1">
    <w:name w:val="heading 1"/>
    <w:basedOn w:val="Normal"/>
    <w:next w:val="Normal"/>
    <w:link w:val="Heading1Char"/>
    <w:uiPriority w:val="9"/>
    <w:qFormat/>
    <w:rsid w:val="00293832"/>
    <w:pPr>
      <w:keepNext/>
      <w:keepLines/>
      <w:spacing w:before="360" w:after="80"/>
      <w:outlineLvl w:val="0"/>
    </w:pPr>
    <w:rPr>
      <w:rFonts w:ascii="Franklin Gothic Medium" w:eastAsiaTheme="majorEastAsia" w:hAnsi="Franklin Gothic Medium" w:cstheme="majorBidi"/>
      <w:color w:val="1E407C"/>
      <w:sz w:val="36"/>
      <w:szCs w:val="40"/>
    </w:rPr>
  </w:style>
  <w:style w:type="paragraph" w:styleId="Heading2">
    <w:name w:val="heading 2"/>
    <w:basedOn w:val="Normal"/>
    <w:next w:val="Normal"/>
    <w:link w:val="Heading2Char"/>
    <w:uiPriority w:val="9"/>
    <w:semiHidden/>
    <w:unhideWhenUsed/>
    <w:qFormat/>
    <w:rsid w:val="00271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832"/>
    <w:rPr>
      <w:rFonts w:ascii="Franklin Gothic Medium" w:eastAsiaTheme="majorEastAsia" w:hAnsi="Franklin Gothic Medium" w:cstheme="majorBidi"/>
      <w:color w:val="1E407C"/>
      <w:sz w:val="36"/>
      <w:szCs w:val="40"/>
    </w:rPr>
  </w:style>
  <w:style w:type="character" w:customStyle="1" w:styleId="Heading2Char">
    <w:name w:val="Heading 2 Char"/>
    <w:basedOn w:val="DefaultParagraphFont"/>
    <w:link w:val="Heading2"/>
    <w:uiPriority w:val="9"/>
    <w:semiHidden/>
    <w:rsid w:val="00271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3EB"/>
    <w:rPr>
      <w:rFonts w:eastAsiaTheme="majorEastAsia" w:cstheme="majorBidi"/>
      <w:color w:val="272727" w:themeColor="text1" w:themeTint="D8"/>
    </w:rPr>
  </w:style>
  <w:style w:type="paragraph" w:styleId="Title">
    <w:name w:val="Title"/>
    <w:basedOn w:val="Normal"/>
    <w:next w:val="Normal"/>
    <w:link w:val="TitleChar"/>
    <w:uiPriority w:val="10"/>
    <w:qFormat/>
    <w:rsid w:val="00293832"/>
    <w:pPr>
      <w:spacing w:after="80" w:line="240" w:lineRule="auto"/>
      <w:contextualSpacing/>
    </w:pPr>
    <w:rPr>
      <w:rFonts w:eastAsiaTheme="majorEastAsia" w:cstheme="majorBidi"/>
      <w:b/>
      <w:color w:val="1E407C"/>
      <w:spacing w:val="-10"/>
      <w:kern w:val="28"/>
      <w:sz w:val="44"/>
      <w:szCs w:val="56"/>
    </w:rPr>
  </w:style>
  <w:style w:type="character" w:customStyle="1" w:styleId="TitleChar">
    <w:name w:val="Title Char"/>
    <w:basedOn w:val="DefaultParagraphFont"/>
    <w:link w:val="Title"/>
    <w:uiPriority w:val="10"/>
    <w:rsid w:val="00293832"/>
    <w:rPr>
      <w:rFonts w:ascii="Rockwell" w:eastAsiaTheme="majorEastAsia" w:hAnsi="Rockwell" w:cstheme="majorBidi"/>
      <w:b/>
      <w:color w:val="1E407C"/>
      <w:spacing w:val="-10"/>
      <w:kern w:val="28"/>
      <w:sz w:val="44"/>
      <w:szCs w:val="56"/>
    </w:rPr>
  </w:style>
  <w:style w:type="paragraph" w:styleId="Subtitle">
    <w:name w:val="Subtitle"/>
    <w:basedOn w:val="Normal"/>
    <w:next w:val="Normal"/>
    <w:link w:val="SubtitleChar"/>
    <w:uiPriority w:val="11"/>
    <w:qFormat/>
    <w:rsid w:val="00271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3EB"/>
    <w:pPr>
      <w:spacing w:before="160"/>
      <w:jc w:val="center"/>
    </w:pPr>
    <w:rPr>
      <w:i/>
      <w:iCs/>
      <w:color w:val="404040" w:themeColor="text1" w:themeTint="BF"/>
    </w:rPr>
  </w:style>
  <w:style w:type="character" w:customStyle="1" w:styleId="QuoteChar">
    <w:name w:val="Quote Char"/>
    <w:basedOn w:val="DefaultParagraphFont"/>
    <w:link w:val="Quote"/>
    <w:uiPriority w:val="29"/>
    <w:rsid w:val="002713EB"/>
    <w:rPr>
      <w:i/>
      <w:iCs/>
      <w:color w:val="404040" w:themeColor="text1" w:themeTint="BF"/>
    </w:rPr>
  </w:style>
  <w:style w:type="paragraph" w:styleId="ListParagraph">
    <w:name w:val="List Paragraph"/>
    <w:basedOn w:val="Normal"/>
    <w:uiPriority w:val="34"/>
    <w:qFormat/>
    <w:rsid w:val="002713EB"/>
    <w:pPr>
      <w:ind w:left="720"/>
      <w:contextualSpacing/>
    </w:pPr>
  </w:style>
  <w:style w:type="character" w:styleId="IntenseEmphasis">
    <w:name w:val="Intense Emphasis"/>
    <w:basedOn w:val="DefaultParagraphFont"/>
    <w:uiPriority w:val="21"/>
    <w:qFormat/>
    <w:rsid w:val="002713EB"/>
    <w:rPr>
      <w:i/>
      <w:iCs/>
      <w:color w:val="0F4761" w:themeColor="accent1" w:themeShade="BF"/>
    </w:rPr>
  </w:style>
  <w:style w:type="paragraph" w:styleId="IntenseQuote">
    <w:name w:val="Intense Quote"/>
    <w:basedOn w:val="Normal"/>
    <w:next w:val="Normal"/>
    <w:link w:val="IntenseQuoteChar"/>
    <w:uiPriority w:val="30"/>
    <w:qFormat/>
    <w:rsid w:val="00271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3EB"/>
    <w:rPr>
      <w:i/>
      <w:iCs/>
      <w:color w:val="0F4761" w:themeColor="accent1" w:themeShade="BF"/>
    </w:rPr>
  </w:style>
  <w:style w:type="character" w:styleId="IntenseReference">
    <w:name w:val="Intense Reference"/>
    <w:basedOn w:val="DefaultParagraphFont"/>
    <w:uiPriority w:val="32"/>
    <w:qFormat/>
    <w:rsid w:val="002713EB"/>
    <w:rPr>
      <w:b/>
      <w:bCs/>
      <w:smallCaps/>
      <w:color w:val="0F4761" w:themeColor="accent1" w:themeShade="BF"/>
      <w:spacing w:val="5"/>
    </w:rPr>
  </w:style>
  <w:style w:type="paragraph" w:styleId="Header">
    <w:name w:val="header"/>
    <w:basedOn w:val="Normal"/>
    <w:link w:val="HeaderChar"/>
    <w:uiPriority w:val="99"/>
    <w:unhideWhenUsed/>
    <w:rsid w:val="007C7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5E"/>
  </w:style>
  <w:style w:type="character" w:styleId="Hyperlink">
    <w:name w:val="Hyperlink"/>
    <w:basedOn w:val="DefaultParagraphFont"/>
    <w:uiPriority w:val="99"/>
    <w:unhideWhenUsed/>
    <w:rsid w:val="00AC6994"/>
    <w:rPr>
      <w:rFonts w:ascii="Rockwell" w:hAnsi="Rockwell"/>
      <w:color w:val="0070C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cdev.e-education.psu.edu/sites/default/files/files/PeerReview_OnlineCourses_PSU_Guide_November2022.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cdev.e-education.psu.edu/evaluate-revise/peerreviewhybr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dev.e-education.psu.edu/sites/default/files/files/PeerReview_HybridCourses_PSU_InstructorInput_November_2022.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hreyerinstitute.psu.edu/assessment_of_teaching/elements_of_effective_teac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01d2b9-1ffb-4c28-b451-91c87604adaf">
      <Terms xmlns="http://schemas.microsoft.com/office/infopath/2007/PartnerControls"/>
    </lcf76f155ced4ddcb4097134ff3c332f>
    <TaxCatchAll xmlns="72314bfc-f95a-48c3-b117-dabb921f0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A4D5FAA33764CBD6D9E1AB7DE7FD5" ma:contentTypeVersion="18" ma:contentTypeDescription="Create a new document." ma:contentTypeScope="" ma:versionID="bc41b8c53bc82f109d026959507085f6">
  <xsd:schema xmlns:xsd="http://www.w3.org/2001/XMLSchema" xmlns:xs="http://www.w3.org/2001/XMLSchema" xmlns:p="http://schemas.microsoft.com/office/2006/metadata/properties" xmlns:ns2="1501d2b9-1ffb-4c28-b451-91c87604adaf" xmlns:ns3="72314bfc-f95a-48c3-b117-dabb921f03fe" targetNamespace="http://schemas.microsoft.com/office/2006/metadata/properties" ma:root="true" ma:fieldsID="3b22e90c4da27252525d2ce818d0235b" ns2:_="" ns3:_="">
    <xsd:import namespace="1501d2b9-1ffb-4c28-b451-91c87604adaf"/>
    <xsd:import namespace="72314bfc-f95a-48c3-b117-dabb921f0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d2b9-1ffb-4c28-b451-91c87604a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14bfc-f95a-48c3-b117-dabb921f0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4c4d0d-f615-4073-92a6-42f1d22cfaf1}" ma:internalName="TaxCatchAll" ma:showField="CatchAllData" ma:web="72314bfc-f95a-48c3-b117-dabb921f0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F5A4-C267-48A1-8411-7264419BA4F7}">
  <ds:schemaRefs>
    <ds:schemaRef ds:uri="http://schemas.microsoft.com/office/2006/metadata/properties"/>
    <ds:schemaRef ds:uri="http://schemas.microsoft.com/office/infopath/2007/PartnerControls"/>
    <ds:schemaRef ds:uri="1501d2b9-1ffb-4c28-b451-91c87604adaf"/>
    <ds:schemaRef ds:uri="72314bfc-f95a-48c3-b117-dabb921f03fe"/>
  </ds:schemaRefs>
</ds:datastoreItem>
</file>

<file path=customXml/itemProps2.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3.xml><?xml version="1.0" encoding="utf-8"?>
<ds:datastoreItem xmlns:ds="http://schemas.openxmlformats.org/officeDocument/2006/customXml" ds:itemID="{1ECC7A25-1A00-4BBA-829F-BE2ABD1F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d2b9-1ffb-4c28-b451-91c87604adaf"/>
    <ds:schemaRef ds:uri="72314bfc-f95a-48c3-b117-dabb921f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Patricia Lee</dc:creator>
  <cp:keywords/>
  <dc:description/>
  <cp:lastModifiedBy>Craig, Patricia Lee</cp:lastModifiedBy>
  <cp:revision>2</cp:revision>
  <dcterms:created xsi:type="dcterms:W3CDTF">2025-06-25T16:29:00Z</dcterms:created>
  <dcterms:modified xsi:type="dcterms:W3CDTF">2025-06-25T16:29:00Z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0x010100A15A4D5FAA33764CBD6D9E1AB7DE7FD5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