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A3D4" w14:textId="77777777" w:rsidR="00B16546" w:rsidRDefault="00B16546" w:rsidP="002713EB">
      <w:pPr>
        <w:spacing w:after="240" w:line="240" w:lineRule="auto"/>
        <w:contextualSpacing/>
        <w:rPr>
          <w:rFonts w:ascii="Rockwell" w:eastAsia="Times New Roman" w:hAnsi="Rockwell" w:cs="Times New Roman"/>
          <w:b/>
          <w:caps/>
          <w:color w:val="1E407C"/>
          <w:spacing w:val="-10"/>
          <w:kern w:val="28"/>
          <w:sz w:val="44"/>
          <w:szCs w:val="56"/>
          <w14:ligatures w14:val="none"/>
        </w:rPr>
      </w:pPr>
    </w:p>
    <w:p w14:paraId="6B80A1F7" w14:textId="77777777" w:rsidR="00384114" w:rsidRPr="00384114" w:rsidRDefault="00384114" w:rsidP="00384114">
      <w:pPr>
        <w:spacing w:after="240" w:line="240" w:lineRule="auto"/>
        <w:contextualSpacing/>
        <w:rPr>
          <w:rFonts w:ascii="Rockwell" w:eastAsia="Times New Roman" w:hAnsi="Rockwell" w:cs="Times New Roman"/>
          <w:b/>
          <w:bCs/>
          <w:caps/>
          <w:color w:val="1E407C"/>
          <w:spacing w:val="-10"/>
          <w:kern w:val="28"/>
          <w:sz w:val="44"/>
          <w:szCs w:val="56"/>
          <w14:ligatures w14:val="none"/>
        </w:rPr>
      </w:pPr>
      <w:r w:rsidRPr="00384114">
        <w:rPr>
          <w:rFonts w:ascii="Rockwell" w:eastAsia="Times New Roman" w:hAnsi="Rockwell" w:cs="Times New Roman"/>
          <w:b/>
          <w:bCs/>
          <w:caps/>
          <w:color w:val="1E407C"/>
          <w:spacing w:val="-10"/>
          <w:kern w:val="28"/>
          <w:sz w:val="44"/>
          <w:szCs w:val="56"/>
          <w14:ligatures w14:val="none"/>
        </w:rPr>
        <w:t>GUIDELINES FOR THE ASSESSMENT OF TEACHING EFFECTIVENESS</w:t>
      </w:r>
    </w:p>
    <w:p w14:paraId="2978CD92" w14:textId="77777777" w:rsidR="002713EB" w:rsidRPr="002713EB" w:rsidRDefault="002713EB" w:rsidP="002713EB">
      <w:pPr>
        <w:spacing w:after="240" w:line="240" w:lineRule="auto"/>
        <w:contextualSpacing/>
        <w:rPr>
          <w:rFonts w:ascii="Rockwell" w:eastAsia="Times New Roman" w:hAnsi="Rockwell" w:cs="Times New Roman"/>
          <w:b/>
          <w:caps/>
          <w:color w:val="1E407C"/>
          <w:spacing w:val="-10"/>
          <w:kern w:val="28"/>
          <w:sz w:val="44"/>
          <w:szCs w:val="56"/>
          <w14:ligatures w14:val="none"/>
        </w:rPr>
      </w:pPr>
    </w:p>
    <w:p w14:paraId="7174FC2E" w14:textId="5ED7B012" w:rsidR="004918C6" w:rsidRPr="004918C6" w:rsidRDefault="004918C6" w:rsidP="004918C6">
      <w:p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All colleges must incorporate the overarching principles for the incorporation of student feedback detailed below into promotion and/or tenure guidelines for </w:t>
      </w:r>
      <w:proofErr w:type="gramStart"/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>tenure-line</w:t>
      </w:r>
      <w:proofErr w:type="gramEnd"/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 and non-tenure-line faculty members undergoing formal review. </w:t>
      </w:r>
    </w:p>
    <w:p w14:paraId="626EEBA7" w14:textId="77777777" w:rsidR="004918C6" w:rsidRDefault="004918C6" w:rsidP="004918C6">
      <w:pPr>
        <w:pStyle w:val="ListParagraph"/>
        <w:numPr>
          <w:ilvl w:val="0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The goal of this approach is to provide a holistic review of SEEQ/SRTE student feedback that minimizes bias. </w:t>
      </w:r>
    </w:p>
    <w:p w14:paraId="583199B3" w14:textId="77777777" w:rsidR="004918C6" w:rsidRDefault="004918C6" w:rsidP="004918C6">
      <w:pPr>
        <w:pStyle w:val="ListParagraph"/>
        <w:numPr>
          <w:ilvl w:val="0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This review of student feedback will replace the previous summary of quantitative and qualitative student feedback on teaching effectiveness in formal promotion and/or tenure review materials. </w:t>
      </w:r>
    </w:p>
    <w:p w14:paraId="2D7BFA5E" w14:textId="138A9422" w:rsidR="004918C6" w:rsidRDefault="004918C6" w:rsidP="004918C6">
      <w:pPr>
        <w:pStyle w:val="ListParagraph"/>
        <w:numPr>
          <w:ilvl w:val="0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>The sub</w:t>
      </w:r>
      <w:r w:rsidR="005D6989">
        <w:rPr>
          <w:rFonts w:ascii="Rockwell" w:eastAsia="Calibri" w:hAnsi="Rockwell" w:cs="Times New Roman"/>
          <w:kern w:val="0"/>
          <w:szCs w:val="22"/>
          <w14:ligatures w14:val="none"/>
        </w:rPr>
        <w:t>-</w:t>
      </w: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unit at the first level of review will identify a minimum of two individuals to serve as student feedback reviewers, consistent with the criteria below: </w:t>
      </w:r>
    </w:p>
    <w:p w14:paraId="6F43877B" w14:textId="6494828D" w:rsidR="004918C6" w:rsidRPr="004918C6" w:rsidRDefault="004918C6" w:rsidP="004918C6">
      <w:pPr>
        <w:pStyle w:val="ListParagraph"/>
        <w:numPr>
          <w:ilvl w:val="1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proofErr w:type="gramStart"/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>at</w:t>
      </w:r>
      <w:proofErr w:type="gramEnd"/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 least one individual selected from a list of two or more Penn State faculty members nominated by the candidate </w:t>
      </w:r>
    </w:p>
    <w:p w14:paraId="410F3D21" w14:textId="77777777" w:rsidR="004918C6" w:rsidRDefault="004918C6" w:rsidP="004918C6">
      <w:pPr>
        <w:pStyle w:val="ListParagraph"/>
        <w:numPr>
          <w:ilvl w:val="1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one faculty member from the subunit department appointed by the subunit head </w:t>
      </w:r>
    </w:p>
    <w:p w14:paraId="7827802A" w14:textId="77777777" w:rsidR="004918C6" w:rsidRDefault="004918C6" w:rsidP="004918C6">
      <w:pPr>
        <w:pStyle w:val="ListParagraph"/>
        <w:numPr>
          <w:ilvl w:val="0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The reviewers are charged with </w:t>
      </w:r>
    </w:p>
    <w:p w14:paraId="49C8BC4A" w14:textId="77777777" w:rsidR="004918C6" w:rsidRDefault="004918C6" w:rsidP="005D6989">
      <w:pPr>
        <w:pStyle w:val="ListParagraph"/>
        <w:numPr>
          <w:ilvl w:val="1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examining student feedback from available courses for the period since a candidate’s last formal review and/or covered by the review (whichever is the shortest) </w:t>
      </w:r>
    </w:p>
    <w:p w14:paraId="431141F8" w14:textId="77777777" w:rsidR="004918C6" w:rsidRDefault="004918C6" w:rsidP="005D6989">
      <w:pPr>
        <w:pStyle w:val="ListParagraph"/>
        <w:numPr>
          <w:ilvl w:val="1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writing a report of no more than 750 words (about one single-space page) describing insights about the candidate’s teaching effectiveness derived from quantitative and qualitative student feedback from SEEQ/SRTE responses across the courses taught during the review period </w:t>
      </w:r>
    </w:p>
    <w:p w14:paraId="148B852E" w14:textId="77777777" w:rsidR="004918C6" w:rsidRDefault="004918C6" w:rsidP="005D6989">
      <w:pPr>
        <w:pStyle w:val="ListParagraph"/>
        <w:numPr>
          <w:ilvl w:val="1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as applicable, reviewers should incorporate attention to the elements of teaching: effective course design, effective instruction, inclusive and ethical pedagogy, reflective and evolving practice. NOTE: Reviewers are advised to consult with the Schreyer Institute for Teaching Effectiveness for guidance </w:t>
      </w:r>
      <w:proofErr w:type="gramStart"/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>for</w:t>
      </w:r>
      <w:proofErr w:type="gramEnd"/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 how to interpret student feedback </w:t>
      </w:r>
    </w:p>
    <w:p w14:paraId="2B30E098" w14:textId="77777777" w:rsidR="004918C6" w:rsidRDefault="004918C6" w:rsidP="004918C6">
      <w:pPr>
        <w:pStyle w:val="ListParagraph"/>
        <w:numPr>
          <w:ilvl w:val="0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This report will be sent to the subunit head or supervisor and will be included in the dossier reviewed by the candidate. If a candidate perceives that the </w:t>
      </w: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lastRenderedPageBreak/>
        <w:t xml:space="preserve">report inadequately represents teaching effectiveness based on student feedback, candidates may revise their narratives to address the perceived discrepancy. </w:t>
      </w:r>
    </w:p>
    <w:p w14:paraId="095FDCC8" w14:textId="77777777" w:rsidR="004918C6" w:rsidRDefault="004918C6" w:rsidP="004918C6">
      <w:pPr>
        <w:pStyle w:val="ListParagraph"/>
        <w:numPr>
          <w:ilvl w:val="0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SEEQ/SRTE scores will be included in an appendix to the dossier. The delivery mode of the course and the distribution, mode, and median for SEEQ/SRTE items will be provided for each course. </w:t>
      </w:r>
    </w:p>
    <w:p w14:paraId="3A8DB569" w14:textId="77777777" w:rsidR="004918C6" w:rsidRDefault="004918C6" w:rsidP="004918C6">
      <w:pPr>
        <w:pStyle w:val="ListParagraph"/>
        <w:numPr>
          <w:ilvl w:val="0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All candidates have the option of including raw data student feedback from the SEEQ/SRTE in their supplemental materials. </w:t>
      </w:r>
    </w:p>
    <w:p w14:paraId="0944AE93" w14:textId="176C2270" w:rsidR="004918C6" w:rsidRPr="004918C6" w:rsidRDefault="004918C6" w:rsidP="004918C6">
      <w:pPr>
        <w:pStyle w:val="ListParagraph"/>
        <w:numPr>
          <w:ilvl w:val="0"/>
          <w:numId w:val="2"/>
        </w:numPr>
        <w:rPr>
          <w:rFonts w:ascii="Rockwell" w:eastAsia="Calibri" w:hAnsi="Rockwell" w:cs="Times New Roman"/>
          <w:kern w:val="0"/>
          <w:szCs w:val="22"/>
          <w14:ligatures w14:val="none"/>
        </w:rPr>
      </w:pPr>
      <w:proofErr w:type="gramStart"/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>As long as</w:t>
      </w:r>
      <w:proofErr w:type="gramEnd"/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 the principles articulated here are adhered to, academic units are free to incorporate this work into existing structures, such as teaching review committees. </w:t>
      </w:r>
    </w:p>
    <w:p w14:paraId="6B6BDDAD" w14:textId="77777777" w:rsidR="004918C6" w:rsidRPr="004918C6" w:rsidRDefault="004918C6" w:rsidP="004918C6">
      <w:pPr>
        <w:rPr>
          <w:rFonts w:ascii="Rockwell" w:eastAsia="Calibri" w:hAnsi="Rockwell" w:cs="Times New Roman"/>
          <w:kern w:val="0"/>
          <w:szCs w:val="22"/>
          <w14:ligatures w14:val="none"/>
        </w:rPr>
      </w:pP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>Guidelines established by Office of Faculty Affairs: May 5, 2025</w:t>
      </w:r>
    </w:p>
    <w:p w14:paraId="75B2606B" w14:textId="0E98EE90" w:rsidR="002713EB" w:rsidRDefault="004918C6" w:rsidP="004918C6"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>See also</w:t>
      </w:r>
      <w:r w:rsidR="005D6989">
        <w:rPr>
          <w:rFonts w:ascii="Rockwell" w:eastAsia="Calibri" w:hAnsi="Rockwell" w:cs="Times New Roman"/>
          <w:kern w:val="0"/>
          <w:szCs w:val="22"/>
          <w14:ligatures w14:val="none"/>
        </w:rPr>
        <w:t>:</w:t>
      </w:r>
      <w:r w:rsidRPr="004918C6">
        <w:rPr>
          <w:rFonts w:ascii="Rockwell" w:eastAsia="Calibri" w:hAnsi="Rockwell" w:cs="Times New Roman"/>
          <w:kern w:val="0"/>
          <w:szCs w:val="22"/>
          <w14:ligatures w14:val="none"/>
        </w:rPr>
        <w:t xml:space="preserve"> </w:t>
      </w:r>
      <w:hyperlink r:id="rId10" w:history="1">
        <w:r w:rsidR="005D6989" w:rsidRPr="000901B7">
          <w:rPr>
            <w:rStyle w:val="Hyperlink"/>
            <w:rFonts w:ascii="Rockwell" w:eastAsia="Calibri" w:hAnsi="Rockwell" w:cs="Times New Roman"/>
            <w:kern w:val="0"/>
            <w:szCs w:val="22"/>
            <w14:ligatures w14:val="none"/>
          </w:rPr>
          <w:t>https://facultyaffairs.psu.edu/changes-to-the-assessment-of-teaching-effectiveness/</w:t>
        </w:r>
      </w:hyperlink>
      <w:r w:rsidR="005D6989">
        <w:rPr>
          <w:rFonts w:ascii="Rockwell" w:eastAsia="Calibri" w:hAnsi="Rockwell" w:cs="Times New Roman"/>
          <w:kern w:val="0"/>
          <w:szCs w:val="22"/>
          <w14:ligatures w14:val="none"/>
        </w:rPr>
        <w:t xml:space="preserve"> </w:t>
      </w:r>
    </w:p>
    <w:sectPr w:rsidR="002713EB" w:rsidSect="007C785E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4DE3" w14:textId="77777777" w:rsidR="003C048C" w:rsidRDefault="003C048C" w:rsidP="007C785E">
      <w:pPr>
        <w:spacing w:after="0" w:line="240" w:lineRule="auto"/>
      </w:pPr>
      <w:r>
        <w:separator/>
      </w:r>
    </w:p>
  </w:endnote>
  <w:endnote w:type="continuationSeparator" w:id="0">
    <w:p w14:paraId="0D1E2BF5" w14:textId="77777777" w:rsidR="003C048C" w:rsidRDefault="003C048C" w:rsidP="007C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E0F6" w14:textId="77777777" w:rsidR="003C048C" w:rsidRDefault="003C048C" w:rsidP="007C785E">
      <w:pPr>
        <w:spacing w:after="0" w:line="240" w:lineRule="auto"/>
      </w:pPr>
      <w:r>
        <w:separator/>
      </w:r>
    </w:p>
  </w:footnote>
  <w:footnote w:type="continuationSeparator" w:id="0">
    <w:p w14:paraId="22C10E5A" w14:textId="77777777" w:rsidR="003C048C" w:rsidRDefault="003C048C" w:rsidP="007C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1801" w14:textId="1E5D28DC" w:rsidR="007C785E" w:rsidRDefault="007C785E">
    <w:pPr>
      <w:pStyle w:val="Header"/>
    </w:pPr>
    <w:r>
      <w:rPr>
        <w:noProof/>
      </w:rPr>
      <w:drawing>
        <wp:inline distT="0" distB="0" distL="0" distR="0" wp14:anchorId="76F54EBE" wp14:editId="4B069364">
          <wp:extent cx="2152650" cy="695325"/>
          <wp:effectExtent l="0" t="0" r="0" b="0"/>
          <wp:docPr id="281730656" name="Picture 1" descr="College of Earth and Mineral Sciences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730656" name="Picture 1" descr="College of Earth and Mineral Sciences wordmark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0" t="14660" r="6566" b="13995"/>
                  <a:stretch/>
                </pic:blipFill>
                <pic:spPr bwMode="auto">
                  <a:xfrm>
                    <a:off x="0" y="0"/>
                    <a:ext cx="2166560" cy="699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E7463"/>
    <w:multiLevelType w:val="hybridMultilevel"/>
    <w:tmpl w:val="9A3E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47915"/>
    <w:multiLevelType w:val="hybridMultilevel"/>
    <w:tmpl w:val="FA925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33616">
    <w:abstractNumId w:val="0"/>
  </w:num>
  <w:num w:numId="2" w16cid:durableId="201414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EB"/>
    <w:rsid w:val="002713EB"/>
    <w:rsid w:val="002B262C"/>
    <w:rsid w:val="00384114"/>
    <w:rsid w:val="003C048C"/>
    <w:rsid w:val="004918C6"/>
    <w:rsid w:val="005D6989"/>
    <w:rsid w:val="007C785E"/>
    <w:rsid w:val="00B16546"/>
    <w:rsid w:val="00BA1548"/>
    <w:rsid w:val="00C90606"/>
    <w:rsid w:val="00D07CF5"/>
    <w:rsid w:val="00DA11FF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DD41F"/>
  <w15:chartTrackingRefBased/>
  <w15:docId w15:val="{8236245E-E8BD-49A4-BECD-60FA1DFC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3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85E"/>
  </w:style>
  <w:style w:type="paragraph" w:styleId="Footer">
    <w:name w:val="footer"/>
    <w:basedOn w:val="Normal"/>
    <w:link w:val="FooterChar"/>
    <w:uiPriority w:val="99"/>
    <w:unhideWhenUsed/>
    <w:rsid w:val="007C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85E"/>
  </w:style>
  <w:style w:type="character" w:styleId="Hyperlink">
    <w:name w:val="Hyperlink"/>
    <w:basedOn w:val="DefaultParagraphFont"/>
    <w:uiPriority w:val="99"/>
    <w:unhideWhenUsed/>
    <w:rsid w:val="005D69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acultyaffairs.psu.edu/changes-to-the-assessment-of-teaching-effectiven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A4D5FAA33764CBD6D9E1AB7DE7FD5" ma:contentTypeVersion="18" ma:contentTypeDescription="Create a new document." ma:contentTypeScope="" ma:versionID="bc41b8c53bc82f109d026959507085f6">
  <xsd:schema xmlns:xsd="http://www.w3.org/2001/XMLSchema" xmlns:xs="http://www.w3.org/2001/XMLSchema" xmlns:p="http://schemas.microsoft.com/office/2006/metadata/properties" xmlns:ns2="1501d2b9-1ffb-4c28-b451-91c87604adaf" xmlns:ns3="72314bfc-f95a-48c3-b117-dabb921f03fe" targetNamespace="http://schemas.microsoft.com/office/2006/metadata/properties" ma:root="true" ma:fieldsID="3b22e90c4da27252525d2ce818d0235b" ns2:_="" ns3:_="">
    <xsd:import namespace="1501d2b9-1ffb-4c28-b451-91c87604adaf"/>
    <xsd:import namespace="72314bfc-f95a-48c3-b117-dabb921f0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1d2b9-1ffb-4c28-b451-91c87604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bfc-f95a-48c3-b117-dabb921f0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c4d0d-f615-4073-92a6-42f1d22cfaf1}" ma:internalName="TaxCatchAll" ma:showField="CatchAllData" ma:web="72314bfc-f95a-48c3-b117-dabb921f0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1d2b9-1ffb-4c28-b451-91c87604adaf">
      <Terms xmlns="http://schemas.microsoft.com/office/infopath/2007/PartnerControls"/>
    </lcf76f155ced4ddcb4097134ff3c332f>
    <TaxCatchAll xmlns="72314bfc-f95a-48c3-b117-dabb921f03fe" xsi:nil="true"/>
  </documentManagement>
</p:properties>
</file>

<file path=customXml/itemProps1.xml><?xml version="1.0" encoding="utf-8"?>
<ds:datastoreItem xmlns:ds="http://schemas.openxmlformats.org/officeDocument/2006/customXml" ds:itemID="{1ECC7A25-1A00-4BBA-829F-BE2ABD1F6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1d2b9-1ffb-4c28-b451-91c87604adaf"/>
    <ds:schemaRef ds:uri="72314bfc-f95a-48c3-b117-dabb921f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D412D-6554-41A5-BA91-F75E34E92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F5A4-C267-48A1-8411-7264419BA4F7}">
  <ds:schemaRefs>
    <ds:schemaRef ds:uri="http://schemas.microsoft.com/office/2006/metadata/properties"/>
    <ds:schemaRef ds:uri="http://schemas.microsoft.com/office/infopath/2007/PartnerControls"/>
    <ds:schemaRef ds:uri="1501d2b9-1ffb-4c28-b451-91c87604adaf"/>
    <ds:schemaRef ds:uri="72314bfc-f95a-48c3-b117-dabb921f03fe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Patricia Lee</dc:creator>
  <cp:keywords/>
  <dc:description/>
  <cp:lastModifiedBy>Craig, Patricia Lee</cp:lastModifiedBy>
  <cp:revision>2</cp:revision>
  <dcterms:created xsi:type="dcterms:W3CDTF">2025-05-08T13:12:00Z</dcterms:created>
  <dcterms:modified xsi:type="dcterms:W3CDTF">2025-05-08T13:12:00Z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0x010100A15A4D5FAA33764CBD6D9E1AB7DE7FD5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