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720D" w14:textId="08BB7342" w:rsidR="0051187F" w:rsidRDefault="0094195E" w:rsidP="0061369A">
      <w:pPr>
        <w:pStyle w:val="Title"/>
      </w:pPr>
      <w:r>
        <w:br/>
      </w:r>
      <w:r w:rsidR="0051187F" w:rsidRPr="0051187F">
        <w:t>Graduate Faculty Nomination and Approval to Teach Qualifications</w:t>
      </w:r>
    </w:p>
    <w:p w14:paraId="2F5F3E4B" w14:textId="21077E8F" w:rsidR="0051187F" w:rsidRPr="0051187F" w:rsidRDefault="0051187F" w:rsidP="0051187F">
      <w:r w:rsidRPr="0051187F">
        <w:t xml:space="preserve">The following </w:t>
      </w:r>
      <w:r w:rsidR="006773F4">
        <w:t>college</w:t>
      </w:r>
      <w:r w:rsidRPr="0051187F">
        <w:t xml:space="preserve">-specific document was developed in response to updates of </w:t>
      </w:r>
      <w:hyperlink r:id="rId10" w:history="1">
        <w:r w:rsidRPr="006C1F02">
          <w:rPr>
            <w:rStyle w:val="Hyperlink"/>
          </w:rPr>
          <w:t>GCAC-101</w:t>
        </w:r>
        <w:r w:rsidR="00267FA2" w:rsidRPr="006C1F02">
          <w:rPr>
            <w:rStyle w:val="Hyperlink"/>
          </w:rPr>
          <w:t xml:space="preserve"> – Graduate Faculty Membership</w:t>
        </w:r>
      </w:hyperlink>
      <w:r w:rsidRPr="0051187F">
        <w:t>, effective</w:t>
      </w:r>
      <w:r>
        <w:t xml:space="preserve"> </w:t>
      </w:r>
      <w:r w:rsidRPr="0051187F">
        <w:t>Summer 2022. This document is the College of Earth and Mineral Science’s interpretation of the</w:t>
      </w:r>
      <w:r>
        <w:t xml:space="preserve"> </w:t>
      </w:r>
      <w:r w:rsidRPr="0051187F">
        <w:t xml:space="preserve">qualifications for faculty members to join the </w:t>
      </w:r>
      <w:r w:rsidR="006773F4">
        <w:t>graduate faculty</w:t>
      </w:r>
      <w:r w:rsidRPr="0051187F">
        <w:t>, and for non-</w:t>
      </w:r>
      <w:r w:rsidR="006773F4">
        <w:t>graduate faculty</w:t>
      </w:r>
      <w:r w:rsidRPr="0051187F">
        <w:t xml:space="preserve"> members</w:t>
      </w:r>
      <w:r>
        <w:t xml:space="preserve"> </w:t>
      </w:r>
      <w:r w:rsidRPr="0051187F">
        <w:t xml:space="preserve">to teach graduate courses. </w:t>
      </w:r>
    </w:p>
    <w:p w14:paraId="17B51482" w14:textId="17199EA2" w:rsidR="0051187F" w:rsidRPr="0051187F" w:rsidRDefault="0051187F" w:rsidP="0051187F">
      <w:r w:rsidRPr="0051187F">
        <w:t>The Graduate Faculty Nomination Evaluation Committee (GFNEC) for each college/school is charged</w:t>
      </w:r>
      <w:r>
        <w:t xml:space="preserve"> </w:t>
      </w:r>
      <w:r w:rsidRPr="0051187F">
        <w:t>with soliciting input, creating, and approving membership qualifications for Category P, Q, and R that</w:t>
      </w:r>
      <w:r>
        <w:t xml:space="preserve"> </w:t>
      </w:r>
      <w:r w:rsidRPr="0051187F">
        <w:t>interpret the Graduate Council policy GCAC- 101.</w:t>
      </w:r>
    </w:p>
    <w:p w14:paraId="454C223E" w14:textId="6AF2377E" w:rsidR="0051187F" w:rsidRPr="0051187F" w:rsidRDefault="0051187F" w:rsidP="0051187F">
      <w:r w:rsidRPr="0051187F">
        <w:t>These guidelines will be reviewed and updated every four years by the GFNEC in consultation with</w:t>
      </w:r>
      <w:r>
        <w:t xml:space="preserve"> </w:t>
      </w:r>
      <w:r w:rsidRPr="0051187F">
        <w:t xml:space="preserve">graduate program leadership and then submitted to </w:t>
      </w:r>
      <w:r w:rsidR="000C48F5">
        <w:t xml:space="preserve">the </w:t>
      </w:r>
      <w:r w:rsidRPr="0051187F">
        <w:t>Graduate Council Committee on Academic</w:t>
      </w:r>
      <w:r>
        <w:t xml:space="preserve"> </w:t>
      </w:r>
      <w:r w:rsidRPr="0051187F">
        <w:t xml:space="preserve">Standards and the </w:t>
      </w:r>
      <w:r w:rsidR="006773F4">
        <w:t>d</w:t>
      </w:r>
      <w:r w:rsidRPr="0051187F">
        <w:t>ean of the Graduate School for approval as stated in Graduate Council policy</w:t>
      </w:r>
      <w:r>
        <w:t xml:space="preserve"> </w:t>
      </w:r>
      <w:r w:rsidRPr="0051187F">
        <w:t>GCAC-101.</w:t>
      </w:r>
    </w:p>
    <w:p w14:paraId="14CA8615" w14:textId="77777777" w:rsidR="0051187F" w:rsidRPr="0051187F" w:rsidRDefault="0051187F" w:rsidP="0051187F">
      <w:pPr>
        <w:pStyle w:val="Heading1"/>
      </w:pPr>
      <w:r w:rsidRPr="0051187F">
        <w:t>Tenure-line Faculty Member Nominations</w:t>
      </w:r>
    </w:p>
    <w:p w14:paraId="38869A23" w14:textId="77777777" w:rsidR="0051187F" w:rsidRPr="0051187F" w:rsidRDefault="0051187F" w:rsidP="0051187F">
      <w:pPr>
        <w:pStyle w:val="Heading2"/>
      </w:pPr>
      <w:r w:rsidRPr="0051187F">
        <w:t>Graduate Professional Education - Category P Membership</w:t>
      </w:r>
    </w:p>
    <w:p w14:paraId="525CB10F" w14:textId="6BD759FF" w:rsidR="0051187F" w:rsidRPr="0051187F" w:rsidRDefault="0051187F" w:rsidP="0051187F">
      <w:r w:rsidRPr="0051187F">
        <w:t>Approval of the nomination of a faculty member with a tenure-line appointment for membership in</w:t>
      </w:r>
      <w:r>
        <w:t xml:space="preserve"> </w:t>
      </w:r>
      <w:r w:rsidRPr="0051187F">
        <w:t xml:space="preserve">Category P of the </w:t>
      </w:r>
      <w:r w:rsidR="006773F4">
        <w:t>graduate faculty</w:t>
      </w:r>
      <w:r w:rsidRPr="0051187F">
        <w:t xml:space="preserve"> of the Graduate School is pro forma, with review to assure that a)</w:t>
      </w:r>
      <w:r>
        <w:t xml:space="preserve"> </w:t>
      </w:r>
      <w:r w:rsidRPr="0051187F">
        <w:t xml:space="preserve">information submitted is complete for inclusion in the </w:t>
      </w:r>
      <w:r w:rsidR="006773F4">
        <w:t>graduate faculty</w:t>
      </w:r>
      <w:r w:rsidRPr="0051187F">
        <w:t xml:space="preserve"> database; b) the correct form</w:t>
      </w:r>
      <w:r>
        <w:t xml:space="preserve"> </w:t>
      </w:r>
      <w:r w:rsidRPr="0051187F">
        <w:t>has been submitted for the correct category of membership; and c) the individual’s appointment at</w:t>
      </w:r>
      <w:r>
        <w:t xml:space="preserve"> </w:t>
      </w:r>
      <w:r w:rsidRPr="0051187F">
        <w:t xml:space="preserve">Penn State has begun (faculty members cannot be appointed to the </w:t>
      </w:r>
      <w:r w:rsidR="006773F4">
        <w:t>graduate faculty</w:t>
      </w:r>
      <w:r w:rsidRPr="0051187F">
        <w:t xml:space="preserve"> prior to their</w:t>
      </w:r>
      <w:r>
        <w:t xml:space="preserve"> </w:t>
      </w:r>
      <w:r w:rsidRPr="0051187F">
        <w:t>start date at the University).</w:t>
      </w:r>
    </w:p>
    <w:p w14:paraId="490173DA" w14:textId="77777777" w:rsidR="0051187F" w:rsidRPr="0051187F" w:rsidRDefault="0051187F" w:rsidP="0051187F">
      <w:pPr>
        <w:pStyle w:val="Heading2"/>
      </w:pPr>
      <w:r w:rsidRPr="0051187F">
        <w:t>Graduate Research Education - Category Q Membership</w:t>
      </w:r>
    </w:p>
    <w:p w14:paraId="3581BC2E" w14:textId="23F7C710" w:rsidR="0051187F" w:rsidRPr="0051187F" w:rsidRDefault="0051187F" w:rsidP="0051187F">
      <w:r w:rsidRPr="0051187F">
        <w:t xml:space="preserve">Nominations for membership in Category Q of the </w:t>
      </w:r>
      <w:r w:rsidR="006773F4">
        <w:t>graduate faculty</w:t>
      </w:r>
      <w:r w:rsidRPr="0051187F">
        <w:t xml:space="preserve"> of the Graduate School is for</w:t>
      </w:r>
      <w:r>
        <w:t xml:space="preserve"> </w:t>
      </w:r>
      <w:r w:rsidRPr="0051187F">
        <w:t>individuals with a tenure-line appointment who hold a terminal master’s degree and are reviewed for</w:t>
      </w:r>
      <w:r>
        <w:t xml:space="preserve"> </w:t>
      </w:r>
      <w:r w:rsidRPr="0051187F">
        <w:t>the following criteria:</w:t>
      </w:r>
    </w:p>
    <w:p w14:paraId="6E4193DB" w14:textId="33B540FF" w:rsidR="0051187F" w:rsidRPr="0051187F" w:rsidRDefault="0051187F" w:rsidP="0051187F">
      <w:pPr>
        <w:pStyle w:val="ListBulleted"/>
      </w:pPr>
      <w:r w:rsidRPr="0051187F">
        <w:t>A terminal master’s degree with research training, or a terminal master’s degree and a record</w:t>
      </w:r>
      <w:r>
        <w:t xml:space="preserve"> </w:t>
      </w:r>
      <w:r w:rsidRPr="0051187F">
        <w:t xml:space="preserve">of research, in either case sufficient to contribute to research doctorate </w:t>
      </w:r>
      <w:proofErr w:type="gramStart"/>
      <w:r w:rsidRPr="0051187F">
        <w:t>training</w:t>
      </w:r>
      <w:r>
        <w:t>;</w:t>
      </w:r>
      <w:proofErr w:type="gramEnd"/>
    </w:p>
    <w:p w14:paraId="375F4F3D" w14:textId="4E7EE9DD" w:rsidR="0051187F" w:rsidRDefault="0051187F" w:rsidP="0051187F">
      <w:pPr>
        <w:pStyle w:val="ListBulleted"/>
      </w:pPr>
      <w:r w:rsidRPr="0051187F">
        <w:lastRenderedPageBreak/>
        <w:t>An active program of research appropriate to the field. (See below for assessing “an active</w:t>
      </w:r>
      <w:r>
        <w:t xml:space="preserve"> </w:t>
      </w:r>
      <w:r w:rsidRPr="0051187F">
        <w:t>program of research appropriate to the field</w:t>
      </w:r>
      <w:r w:rsidR="00855336">
        <w:t>.</w:t>
      </w:r>
      <w:r w:rsidRPr="0051187F">
        <w:t>”)</w:t>
      </w:r>
    </w:p>
    <w:p w14:paraId="2EC3F20F" w14:textId="77777777" w:rsidR="0051187F" w:rsidRPr="0051187F" w:rsidRDefault="0051187F" w:rsidP="0051187F">
      <w:pPr>
        <w:pStyle w:val="Heading2"/>
      </w:pPr>
      <w:r w:rsidRPr="0051187F">
        <w:t>Graduate Research Education - Category R Membership</w:t>
      </w:r>
    </w:p>
    <w:p w14:paraId="790D9CFB" w14:textId="04F53492" w:rsidR="00855336" w:rsidRDefault="0051187F" w:rsidP="0051187F">
      <w:r w:rsidRPr="0051187F">
        <w:t>Approval of the nomination of a faculty member holding a Ph</w:t>
      </w:r>
      <w:r w:rsidR="006773F4">
        <w:t>.</w:t>
      </w:r>
      <w:r w:rsidRPr="0051187F">
        <w:t>D</w:t>
      </w:r>
      <w:r w:rsidR="006773F4">
        <w:t>.</w:t>
      </w:r>
      <w:r w:rsidRPr="0051187F">
        <w:t xml:space="preserve"> or other doctoral</w:t>
      </w:r>
      <w:r>
        <w:t xml:space="preserve"> </w:t>
      </w:r>
      <w:r w:rsidRPr="0051187F">
        <w:t>degree with a</w:t>
      </w:r>
      <w:r>
        <w:t xml:space="preserve"> </w:t>
      </w:r>
      <w:r w:rsidRPr="0051187F">
        <w:t xml:space="preserve">tenure-line appointment for membership in Category R of the </w:t>
      </w:r>
      <w:r w:rsidR="006773F4">
        <w:t>graduate faculty</w:t>
      </w:r>
      <w:r w:rsidRPr="0051187F">
        <w:t xml:space="preserve"> of the Graduate</w:t>
      </w:r>
      <w:r>
        <w:t xml:space="preserve"> </w:t>
      </w:r>
      <w:r w:rsidRPr="0051187F">
        <w:t xml:space="preserve">School is </w:t>
      </w:r>
      <w:r w:rsidRPr="0051187F">
        <w:rPr>
          <w:i/>
          <w:iCs/>
        </w:rPr>
        <w:t>pro</w:t>
      </w:r>
      <w:r w:rsidR="008449BB">
        <w:rPr>
          <w:i/>
          <w:iCs/>
        </w:rPr>
        <w:t xml:space="preserve"> </w:t>
      </w:r>
      <w:proofErr w:type="gramStart"/>
      <w:r w:rsidRPr="0051187F">
        <w:rPr>
          <w:i/>
          <w:iCs/>
        </w:rPr>
        <w:t>forma</w:t>
      </w:r>
      <w:proofErr w:type="gramEnd"/>
      <w:r w:rsidRPr="0051187F">
        <w:t xml:space="preserve">, with review to assure that </w:t>
      </w:r>
    </w:p>
    <w:p w14:paraId="6EA67DAD" w14:textId="77F12C2D" w:rsidR="00AA0170" w:rsidRDefault="00AA0170" w:rsidP="00AA0170">
      <w:pPr>
        <w:pStyle w:val="ListBulleted"/>
      </w:pPr>
      <w:r>
        <w:t>The i</w:t>
      </w:r>
      <w:r w:rsidR="0051187F" w:rsidRPr="0051187F">
        <w:t>nformation submitted is complete for inclusion in</w:t>
      </w:r>
      <w:r w:rsidR="0051187F">
        <w:t xml:space="preserve"> </w:t>
      </w:r>
      <w:r w:rsidR="0051187F" w:rsidRPr="0051187F">
        <w:t xml:space="preserve">the </w:t>
      </w:r>
      <w:r w:rsidR="006773F4">
        <w:t>graduate faculty</w:t>
      </w:r>
      <w:r w:rsidR="0051187F" w:rsidRPr="0051187F">
        <w:t xml:space="preserve"> </w:t>
      </w:r>
      <w:proofErr w:type="gramStart"/>
      <w:r w:rsidR="0051187F" w:rsidRPr="0051187F">
        <w:t>database;</w:t>
      </w:r>
      <w:proofErr w:type="gramEnd"/>
    </w:p>
    <w:p w14:paraId="04DD0E38" w14:textId="77777777" w:rsidR="0094195E" w:rsidRDefault="00AA0170" w:rsidP="00AA0170">
      <w:pPr>
        <w:pStyle w:val="ListBulleted"/>
      </w:pPr>
      <w:r>
        <w:t>T</w:t>
      </w:r>
      <w:r w:rsidR="0051187F" w:rsidRPr="0051187F">
        <w:t>he correct form has been submitted for the correct category of</w:t>
      </w:r>
      <w:r w:rsidR="0051187F">
        <w:t xml:space="preserve"> </w:t>
      </w:r>
      <w:r w:rsidR="0051187F" w:rsidRPr="0051187F">
        <w:t>membership; and</w:t>
      </w:r>
    </w:p>
    <w:p w14:paraId="7D78E395" w14:textId="2F772461" w:rsidR="0051187F" w:rsidRDefault="0094195E" w:rsidP="00AA0170">
      <w:pPr>
        <w:pStyle w:val="ListBulleted"/>
      </w:pPr>
      <w:r>
        <w:t>T</w:t>
      </w:r>
      <w:r w:rsidR="0051187F" w:rsidRPr="0051187F">
        <w:t>he individual’s appointment at Penn State has begun (faculty members cannot</w:t>
      </w:r>
      <w:r w:rsidR="0051187F">
        <w:t xml:space="preserve"> </w:t>
      </w:r>
      <w:r w:rsidR="0051187F" w:rsidRPr="0051187F">
        <w:t xml:space="preserve">be appointed to the </w:t>
      </w:r>
      <w:r w:rsidR="006773F4">
        <w:t>graduate faculty</w:t>
      </w:r>
      <w:r w:rsidR="0051187F" w:rsidRPr="0051187F">
        <w:t xml:space="preserve"> prior to their start date at the University).</w:t>
      </w:r>
    </w:p>
    <w:p w14:paraId="479E0E18" w14:textId="77777777" w:rsidR="0051187F" w:rsidRPr="0051187F" w:rsidRDefault="0051187F" w:rsidP="0051187F">
      <w:pPr>
        <w:pStyle w:val="Heading1"/>
      </w:pPr>
      <w:r w:rsidRPr="0051187F">
        <w:t>Non-Tenure-line Faculty Member Nominations</w:t>
      </w:r>
    </w:p>
    <w:p w14:paraId="158F96F2" w14:textId="77777777" w:rsidR="0051187F" w:rsidRPr="0051187F" w:rsidRDefault="0051187F" w:rsidP="0051187F">
      <w:pPr>
        <w:pStyle w:val="Heading2"/>
      </w:pPr>
      <w:r w:rsidRPr="0051187F">
        <w:t>Graduate Professional Education - Category P Membership</w:t>
      </w:r>
    </w:p>
    <w:p w14:paraId="409E8ECA" w14:textId="77777777" w:rsidR="0051187F" w:rsidRPr="0051187F" w:rsidRDefault="0051187F" w:rsidP="0051187F">
      <w:r w:rsidRPr="0051187F">
        <w:t>There are two subgroups in Category P:</w:t>
      </w:r>
    </w:p>
    <w:p w14:paraId="1DD8C329" w14:textId="344F17D4" w:rsidR="0051187F" w:rsidRPr="0051187F" w:rsidRDefault="0051187F" w:rsidP="0051187F">
      <w:pPr>
        <w:pStyle w:val="ListBulleted"/>
      </w:pPr>
      <w:r w:rsidRPr="0051187F">
        <w:t>Category P-M</w:t>
      </w:r>
    </w:p>
    <w:p w14:paraId="1FC3C554" w14:textId="34FFE55E" w:rsidR="0051187F" w:rsidRPr="0051187F" w:rsidRDefault="0051187F" w:rsidP="0051187F">
      <w:pPr>
        <w:pStyle w:val="ListBulleted"/>
        <w:numPr>
          <w:ilvl w:val="1"/>
          <w:numId w:val="8"/>
        </w:numPr>
        <w:ind w:left="720"/>
      </w:pPr>
      <w:r w:rsidRPr="0051187F">
        <w:t>For individuals who participate in professional master’s degree programs</w:t>
      </w:r>
    </w:p>
    <w:p w14:paraId="3475DB4B" w14:textId="30342AC6" w:rsidR="0051187F" w:rsidRPr="0051187F" w:rsidRDefault="0051187F" w:rsidP="0051187F">
      <w:pPr>
        <w:pStyle w:val="ListBulleted"/>
      </w:pPr>
      <w:r w:rsidRPr="0051187F">
        <w:t>Category P-D</w:t>
      </w:r>
    </w:p>
    <w:p w14:paraId="641C335F" w14:textId="68C1B0E3" w:rsidR="0051187F" w:rsidRDefault="0051187F" w:rsidP="0051187F">
      <w:pPr>
        <w:pStyle w:val="ListBulleted"/>
        <w:numPr>
          <w:ilvl w:val="1"/>
          <w:numId w:val="8"/>
        </w:numPr>
        <w:ind w:left="720"/>
      </w:pPr>
      <w:r w:rsidRPr="0051187F">
        <w:t xml:space="preserve">For individuals who participate in professional doctoral degree </w:t>
      </w:r>
      <w:proofErr w:type="gramStart"/>
      <w:r w:rsidRPr="0051187F">
        <w:t>programs;</w:t>
      </w:r>
      <w:proofErr w:type="gramEnd"/>
      <w:r>
        <w:t xml:space="preserve"> </w:t>
      </w:r>
      <w:r w:rsidRPr="0051187F">
        <w:t>such individuals may also participate in professional master’s degree</w:t>
      </w:r>
      <w:r>
        <w:t xml:space="preserve"> </w:t>
      </w:r>
      <w:r w:rsidRPr="0051187F">
        <w:t>programs</w:t>
      </w:r>
    </w:p>
    <w:p w14:paraId="28EBA78B" w14:textId="77777777" w:rsidR="0051187F" w:rsidRPr="0051187F" w:rsidRDefault="0051187F" w:rsidP="0051187F">
      <w:pPr>
        <w:pStyle w:val="Heading3"/>
      </w:pPr>
      <w:r w:rsidRPr="0051187F">
        <w:t>CATEGORY P-M</w:t>
      </w:r>
    </w:p>
    <w:p w14:paraId="5F6E3A02" w14:textId="518C465F" w:rsidR="0051187F" w:rsidRPr="0051187F" w:rsidRDefault="0051187F" w:rsidP="0051187F">
      <w:r w:rsidRPr="0051187F">
        <w:t xml:space="preserve">Nominations for membership in Category P-M of the </w:t>
      </w:r>
      <w:r w:rsidR="006773F4">
        <w:t>graduate faculty</w:t>
      </w:r>
      <w:r w:rsidRPr="0051187F">
        <w:t xml:space="preserve"> of the Graduate School for</w:t>
      </w:r>
      <w:r>
        <w:t xml:space="preserve"> </w:t>
      </w:r>
      <w:r w:rsidRPr="0051187F">
        <w:t>individuals not on a tenure-line appointment are reviewed for the following criteria as defined in</w:t>
      </w:r>
      <w:r>
        <w:t xml:space="preserve"> </w:t>
      </w:r>
      <w:r w:rsidRPr="0051187F">
        <w:t xml:space="preserve">policy GCAC-101 </w:t>
      </w:r>
      <w:r w:rsidR="006773F4">
        <w:t>graduate faculty</w:t>
      </w:r>
      <w:r w:rsidRPr="0051187F">
        <w:t xml:space="preserve"> </w:t>
      </w:r>
      <w:r w:rsidR="006773F4">
        <w:t>m</w:t>
      </w:r>
      <w:r w:rsidRPr="0051187F">
        <w:t>embership:</w:t>
      </w:r>
    </w:p>
    <w:p w14:paraId="22B4453B" w14:textId="7536D0C0" w:rsidR="0051187F" w:rsidRPr="0051187F" w:rsidRDefault="0051187F" w:rsidP="0051187F">
      <w:pPr>
        <w:pStyle w:val="ListBulleted"/>
      </w:pPr>
      <w:r w:rsidRPr="0051187F">
        <w:t>A full-time faculty appointment</w:t>
      </w:r>
    </w:p>
    <w:p w14:paraId="78D0AE7D" w14:textId="5D20F8C8" w:rsidR="0051187F" w:rsidRPr="0051187F" w:rsidRDefault="0051187F" w:rsidP="0051187F">
      <w:pPr>
        <w:pStyle w:val="ListBulleted"/>
      </w:pPr>
      <w:r w:rsidRPr="0051187F">
        <w:t>A master’s degree</w:t>
      </w:r>
    </w:p>
    <w:p w14:paraId="342A78D6" w14:textId="23D07E28" w:rsidR="0051187F" w:rsidRPr="0051187F" w:rsidRDefault="0051187F" w:rsidP="0051187F">
      <w:pPr>
        <w:pStyle w:val="ListBulleted"/>
      </w:pPr>
      <w:r w:rsidRPr="0051187F">
        <w:t>Recent or ongoing professional experience relevant to the professional master’s degree</w:t>
      </w:r>
      <w:r>
        <w:t xml:space="preserve"> </w:t>
      </w:r>
      <w:r w:rsidRPr="0051187F">
        <w:t>program field; alternatively, ongoing scholarly activity in the professional master’s degree</w:t>
      </w:r>
      <w:r>
        <w:t xml:space="preserve"> </w:t>
      </w:r>
      <w:r w:rsidRPr="0051187F">
        <w:t>program field</w:t>
      </w:r>
    </w:p>
    <w:p w14:paraId="435EAE15" w14:textId="3CB25BB3" w:rsidR="0051187F" w:rsidRPr="0051187F" w:rsidRDefault="0051187F" w:rsidP="0051187F">
      <w:pPr>
        <w:pStyle w:val="Heading3"/>
      </w:pPr>
      <w:r w:rsidRPr="0051187F">
        <w:t>CATEGORY P-D</w:t>
      </w:r>
    </w:p>
    <w:p w14:paraId="3746C0A2" w14:textId="4DB7F7D2" w:rsidR="0051187F" w:rsidRPr="0051187F" w:rsidRDefault="0051187F" w:rsidP="0051187F">
      <w:r w:rsidRPr="0051187F">
        <w:t xml:space="preserve">Nominations for membership in Category P-D of the </w:t>
      </w:r>
      <w:r w:rsidR="006773F4">
        <w:t>graduate faculty</w:t>
      </w:r>
      <w:r w:rsidRPr="0051187F">
        <w:t xml:space="preserve"> of the Graduate School for</w:t>
      </w:r>
      <w:r>
        <w:t xml:space="preserve"> </w:t>
      </w:r>
      <w:r w:rsidRPr="0051187F">
        <w:t>individuals not on a tenure-line appointment are reviewed for the following criteria as defined in</w:t>
      </w:r>
      <w:r>
        <w:t xml:space="preserve"> </w:t>
      </w:r>
      <w:r w:rsidRPr="0051187F">
        <w:t xml:space="preserve">policy GCAC-101 </w:t>
      </w:r>
      <w:r w:rsidR="006773F4">
        <w:t>graduate faculty</w:t>
      </w:r>
      <w:r w:rsidRPr="0051187F">
        <w:t xml:space="preserve"> </w:t>
      </w:r>
      <w:r w:rsidR="006773F4">
        <w:t>m</w:t>
      </w:r>
      <w:r w:rsidRPr="0051187F">
        <w:t>embership:</w:t>
      </w:r>
    </w:p>
    <w:p w14:paraId="3058CB1D" w14:textId="07587DDB" w:rsidR="0051187F" w:rsidRPr="0051187F" w:rsidRDefault="0051187F" w:rsidP="0051187F">
      <w:pPr>
        <w:pStyle w:val="ListBulleted"/>
      </w:pPr>
      <w:r w:rsidRPr="0051187F">
        <w:lastRenderedPageBreak/>
        <w:t>A full-time faculty appointment</w:t>
      </w:r>
    </w:p>
    <w:p w14:paraId="5974DD38" w14:textId="175249DE" w:rsidR="0051187F" w:rsidRPr="0051187F" w:rsidRDefault="0051187F" w:rsidP="0051187F">
      <w:pPr>
        <w:pStyle w:val="ListBulleted"/>
      </w:pPr>
      <w:r w:rsidRPr="0051187F">
        <w:t>A doctoral degree</w:t>
      </w:r>
    </w:p>
    <w:p w14:paraId="6CF8ABEE" w14:textId="75758E8E" w:rsidR="0051187F" w:rsidRDefault="0051187F" w:rsidP="0051187F">
      <w:pPr>
        <w:pStyle w:val="ListBulleted"/>
      </w:pPr>
      <w:r w:rsidRPr="0051187F">
        <w:t>Recent or ongoing professional experience relevant to the professional doctoral degree</w:t>
      </w:r>
      <w:r>
        <w:t xml:space="preserve"> </w:t>
      </w:r>
      <w:r w:rsidRPr="0051187F">
        <w:t>program field; alternatively, ongoing scholarly activity in the professional doctoral degree</w:t>
      </w:r>
      <w:r>
        <w:t xml:space="preserve"> </w:t>
      </w:r>
      <w:r w:rsidRPr="0051187F">
        <w:t>program field</w:t>
      </w:r>
    </w:p>
    <w:p w14:paraId="6BB07CFE" w14:textId="0CFFA057" w:rsidR="0051187F" w:rsidRPr="0051187F" w:rsidRDefault="0051187F" w:rsidP="0051187F">
      <w:pPr>
        <w:pStyle w:val="Heading3"/>
      </w:pPr>
      <w:r w:rsidRPr="0051187F">
        <w:t>PROFESSIONAL EXPERIENCE RELEVANT TO THE PROFESSIONAL DEGREE PROGRAM FIELD AS DEFINED BY THE COLLEGE OF</w:t>
      </w:r>
      <w:r>
        <w:t xml:space="preserve"> </w:t>
      </w:r>
      <w:r w:rsidRPr="0051187F">
        <w:t>EARTH AND MINERAL SCIENCES</w:t>
      </w:r>
    </w:p>
    <w:p w14:paraId="556CAA6B" w14:textId="04336B75" w:rsidR="0051187F" w:rsidRDefault="0051187F" w:rsidP="0051187F">
      <w:r w:rsidRPr="0051187F">
        <w:t>The expectation of recent or ongoing professional experience relevant to the professional masters or</w:t>
      </w:r>
      <w:r>
        <w:t xml:space="preserve"> </w:t>
      </w:r>
      <w:r w:rsidRPr="0051187F">
        <w:t>doctoral degree program field derives from the fact that professional graduate degree programs prepare</w:t>
      </w:r>
      <w:r>
        <w:t xml:space="preserve"> </w:t>
      </w:r>
      <w:r w:rsidRPr="0051187F">
        <w:t>students for expert practice in the chosen field. Accordingly, with the recognition that fields and</w:t>
      </w:r>
      <w:r>
        <w:t xml:space="preserve"> </w:t>
      </w:r>
      <w:r w:rsidRPr="0051187F">
        <w:t>professional practice evolve quickly, and with a goal of preparing our students to practice their chosen</w:t>
      </w:r>
      <w:r>
        <w:t xml:space="preserve"> </w:t>
      </w:r>
      <w:r w:rsidRPr="0051187F">
        <w:t>profession at a high level based on the education we provide, faculty members who will be fully</w:t>
      </w:r>
      <w:r>
        <w:t xml:space="preserve"> </w:t>
      </w:r>
      <w:r w:rsidRPr="0051187F">
        <w:t>engaged in professional degree programs should be intimately familiar with the current state of practice</w:t>
      </w:r>
      <w:r>
        <w:t xml:space="preserve"> </w:t>
      </w:r>
      <w:r w:rsidRPr="0051187F">
        <w:t>in the field. We generally expect professional experience to be within the last 3-5 years; individual</w:t>
      </w:r>
      <w:r>
        <w:t xml:space="preserve"> </w:t>
      </w:r>
      <w:r w:rsidRPr="0051187F">
        <w:t>graduate programs may have higher standards.</w:t>
      </w:r>
    </w:p>
    <w:p w14:paraId="6B752A80" w14:textId="77777777" w:rsidR="0051187F" w:rsidRPr="0051187F" w:rsidRDefault="0051187F" w:rsidP="0051187F">
      <w:pPr>
        <w:rPr>
          <w:i/>
          <w:iCs/>
        </w:rPr>
      </w:pPr>
      <w:r w:rsidRPr="0051187F">
        <w:t xml:space="preserve">Illustrative examples of professional experience follow. NOTE: </w:t>
      </w:r>
      <w:r w:rsidRPr="0051187F">
        <w:rPr>
          <w:i/>
          <w:iCs/>
        </w:rPr>
        <w:t>The specific examples presented below</w:t>
      </w:r>
      <w:r>
        <w:rPr>
          <w:i/>
          <w:iCs/>
        </w:rPr>
        <w:t xml:space="preserve"> </w:t>
      </w:r>
      <w:r w:rsidRPr="0051187F">
        <w:rPr>
          <w:i/>
          <w:iCs/>
        </w:rPr>
        <w:t>are NOT intended to be exhaustive.</w:t>
      </w:r>
    </w:p>
    <w:p w14:paraId="08EC5608" w14:textId="5AD865D8" w:rsidR="0051187F" w:rsidRPr="0051187F" w:rsidRDefault="0051187F" w:rsidP="0051187F">
      <w:pPr>
        <w:pStyle w:val="ListBulleted"/>
      </w:pPr>
      <w:r w:rsidRPr="0051187F">
        <w:t>Employment</w:t>
      </w:r>
    </w:p>
    <w:p w14:paraId="6DAD292D" w14:textId="2505EE13" w:rsidR="0051187F" w:rsidRPr="0051187F" w:rsidRDefault="0051187F" w:rsidP="0051187F">
      <w:pPr>
        <w:pStyle w:val="ListBulleted"/>
      </w:pPr>
      <w:r w:rsidRPr="0051187F">
        <w:t>Licensure or Certification</w:t>
      </w:r>
    </w:p>
    <w:p w14:paraId="27118D00" w14:textId="489B5336" w:rsidR="0051187F" w:rsidRPr="0051187F" w:rsidRDefault="0051187F" w:rsidP="0051187F">
      <w:pPr>
        <w:pStyle w:val="ListBulleted"/>
      </w:pPr>
      <w:r w:rsidRPr="0051187F">
        <w:t>Formal consulting activities</w:t>
      </w:r>
    </w:p>
    <w:p w14:paraId="675AF0F8" w14:textId="2B27F63E" w:rsidR="0051187F" w:rsidRPr="0051187F" w:rsidRDefault="0051187F" w:rsidP="0051187F">
      <w:pPr>
        <w:pStyle w:val="ListBulleted"/>
      </w:pPr>
      <w:r w:rsidRPr="0051187F">
        <w:t>Presentations at professional workshops or meetings</w:t>
      </w:r>
    </w:p>
    <w:p w14:paraId="26DB4E3C" w14:textId="273FC9AF" w:rsidR="0051187F" w:rsidRPr="0051187F" w:rsidRDefault="0051187F" w:rsidP="0051187F">
      <w:pPr>
        <w:pStyle w:val="ListBulleted"/>
      </w:pPr>
      <w:r w:rsidRPr="0051187F">
        <w:t>Serving on professional advisory committees</w:t>
      </w:r>
    </w:p>
    <w:p w14:paraId="46551C1A" w14:textId="237AF91D" w:rsidR="0051187F" w:rsidRPr="0051187F" w:rsidRDefault="0051187F" w:rsidP="0051187F">
      <w:pPr>
        <w:pStyle w:val="ListBulleted"/>
      </w:pPr>
      <w:r w:rsidRPr="0051187F">
        <w:t>Participation in professional and industry networks</w:t>
      </w:r>
    </w:p>
    <w:p w14:paraId="06822110" w14:textId="689C3164" w:rsidR="0051187F" w:rsidRDefault="0051187F" w:rsidP="0051187F">
      <w:pPr>
        <w:pStyle w:val="ListBulleted"/>
      </w:pPr>
      <w:r w:rsidRPr="0051187F">
        <w:t>Demonstration of mentoring and professional development of others</w:t>
      </w:r>
    </w:p>
    <w:p w14:paraId="4A58E963" w14:textId="77777777" w:rsidR="00F44EC1" w:rsidRDefault="00F44EC1" w:rsidP="00F44EC1">
      <w:pPr>
        <w:pStyle w:val="ListBulleted"/>
        <w:numPr>
          <w:ilvl w:val="0"/>
          <w:numId w:val="0"/>
        </w:numPr>
        <w:ind w:left="360" w:hanging="360"/>
      </w:pPr>
    </w:p>
    <w:p w14:paraId="123F60FC" w14:textId="5A01FCB5" w:rsidR="00F44EC1" w:rsidRPr="00F44EC1" w:rsidRDefault="00F44EC1" w:rsidP="00F44EC1">
      <w:pPr>
        <w:pStyle w:val="ListBulleted"/>
        <w:numPr>
          <w:ilvl w:val="0"/>
          <w:numId w:val="0"/>
        </w:numPr>
      </w:pPr>
      <w:r w:rsidRPr="00F44EC1">
        <w:t>An expectation of professional degree programs is that they incorporate new practices derived from</w:t>
      </w:r>
      <w:r>
        <w:t xml:space="preserve"> </w:t>
      </w:r>
      <w:r w:rsidRPr="00F44EC1">
        <w:t>new discoveries in their field of study; thus, individuals with ongoing scholarly work in the field can</w:t>
      </w:r>
      <w:r>
        <w:t xml:space="preserve"> </w:t>
      </w:r>
      <w:r w:rsidRPr="00F44EC1">
        <w:t>appropriately be approved to Category P membership. Such membership is particularly important</w:t>
      </w:r>
      <w:r>
        <w:t xml:space="preserve"> </w:t>
      </w:r>
      <w:r w:rsidRPr="00F44EC1">
        <w:t>when the scholarly work in the field is rapidly advancing ahead of standard professional practice.</w:t>
      </w:r>
    </w:p>
    <w:p w14:paraId="14F877F6" w14:textId="77777777" w:rsidR="00F44EC1" w:rsidRPr="00F44EC1" w:rsidRDefault="00F44EC1" w:rsidP="00F44EC1">
      <w:pPr>
        <w:pStyle w:val="Heading2"/>
      </w:pPr>
      <w:r w:rsidRPr="00F44EC1">
        <w:t>Graduate Research Education - Category R Membership</w:t>
      </w:r>
    </w:p>
    <w:p w14:paraId="4CB8E532" w14:textId="758912F7" w:rsidR="00F44EC1" w:rsidRPr="00F44EC1" w:rsidRDefault="00F44EC1" w:rsidP="00F44EC1">
      <w:pPr>
        <w:pStyle w:val="ListBulleted"/>
        <w:numPr>
          <w:ilvl w:val="0"/>
          <w:numId w:val="0"/>
        </w:numPr>
      </w:pPr>
      <w:r w:rsidRPr="00F44EC1">
        <w:t xml:space="preserve">Nominations for membership in Category R of the </w:t>
      </w:r>
      <w:r w:rsidR="006773F4">
        <w:t>graduate faculty</w:t>
      </w:r>
      <w:r w:rsidRPr="00F44EC1">
        <w:t xml:space="preserve"> of the Graduate School for</w:t>
      </w:r>
      <w:r>
        <w:t xml:space="preserve"> </w:t>
      </w:r>
      <w:r w:rsidRPr="00F44EC1">
        <w:t>individuals not on a tenure-line appointment are reviewed for the following criteria as defined in</w:t>
      </w:r>
      <w:r>
        <w:t xml:space="preserve"> </w:t>
      </w:r>
      <w:r w:rsidRPr="00F44EC1">
        <w:t xml:space="preserve">policy </w:t>
      </w:r>
      <w:hyperlink r:id="rId11" w:history="1">
        <w:r w:rsidRPr="00F44EC1">
          <w:rPr>
            <w:rStyle w:val="Hyperlink"/>
          </w:rPr>
          <w:t>GCAC-101 Graduate Faculty Membership</w:t>
        </w:r>
      </w:hyperlink>
      <w:r w:rsidRPr="00F44EC1">
        <w:t>:</w:t>
      </w:r>
    </w:p>
    <w:p w14:paraId="6C3D83D5" w14:textId="4FA10219" w:rsidR="00F44EC1" w:rsidRPr="00F44EC1" w:rsidRDefault="00F44EC1" w:rsidP="00F44EC1">
      <w:pPr>
        <w:pStyle w:val="ListBulleted"/>
      </w:pPr>
      <w:r w:rsidRPr="00F44EC1">
        <w:t>A full-time faculty appointment</w:t>
      </w:r>
    </w:p>
    <w:p w14:paraId="0EF765F6" w14:textId="49DCABB3" w:rsidR="00F44EC1" w:rsidRPr="00F44EC1" w:rsidRDefault="00F44EC1" w:rsidP="00F44EC1">
      <w:pPr>
        <w:pStyle w:val="ListBulleted"/>
      </w:pPr>
      <w:r w:rsidRPr="00F44EC1">
        <w:lastRenderedPageBreak/>
        <w:t>A doctoral degree</w:t>
      </w:r>
    </w:p>
    <w:p w14:paraId="046F1831" w14:textId="493074AF" w:rsidR="00F44EC1" w:rsidRPr="00F44EC1" w:rsidRDefault="00F44EC1" w:rsidP="00F44EC1">
      <w:pPr>
        <w:pStyle w:val="ListBulleted"/>
      </w:pPr>
      <w:r w:rsidRPr="00F44EC1">
        <w:t>A record of scholarly achievement, and an active program of research/scholarly activity, appropriate to the field</w:t>
      </w:r>
    </w:p>
    <w:p w14:paraId="225ACE97" w14:textId="6841D005" w:rsidR="00F44EC1" w:rsidRPr="00F44EC1" w:rsidRDefault="00F44EC1" w:rsidP="00F44EC1">
      <w:pPr>
        <w:pStyle w:val="Heading3"/>
      </w:pPr>
      <w:r w:rsidRPr="00F44EC1">
        <w:t>A RECORD OF SCHOLARLY ACHIEVEMENT APPROPRIATE TO THE RESEARCH DEGREE FIELD AS DEFINED BY THE COLLEGE OF</w:t>
      </w:r>
      <w:r>
        <w:t xml:space="preserve"> </w:t>
      </w:r>
      <w:r w:rsidRPr="00F44EC1">
        <w:t>EARTH AND MINERAL SCIENCES</w:t>
      </w:r>
    </w:p>
    <w:p w14:paraId="6EF060B3" w14:textId="0F7EDBC9" w:rsidR="00F44EC1" w:rsidRPr="00F44EC1" w:rsidRDefault="00F44EC1" w:rsidP="00F44EC1">
      <w:pPr>
        <w:pStyle w:val="ListBulleted"/>
        <w:numPr>
          <w:ilvl w:val="0"/>
          <w:numId w:val="0"/>
        </w:numPr>
        <w:rPr>
          <w:i/>
          <w:iCs/>
        </w:rPr>
      </w:pPr>
      <w:r w:rsidRPr="00F44EC1">
        <w:t xml:space="preserve">Below are illustrative examples of scholarly achievement. NOTE: </w:t>
      </w:r>
      <w:r w:rsidRPr="00F44EC1">
        <w:rPr>
          <w:i/>
          <w:iCs/>
        </w:rPr>
        <w:t>None of the specific examples in the</w:t>
      </w:r>
      <w:r>
        <w:rPr>
          <w:i/>
          <w:iCs/>
        </w:rPr>
        <w:t xml:space="preserve"> </w:t>
      </w:r>
      <w:r w:rsidRPr="00F44EC1">
        <w:rPr>
          <w:i/>
          <w:iCs/>
        </w:rPr>
        <w:t>lists presented below are intended to be exhaustive.</w:t>
      </w:r>
    </w:p>
    <w:p w14:paraId="44132194" w14:textId="77777777" w:rsidR="00F44EC1" w:rsidRDefault="00F44EC1" w:rsidP="00F44EC1">
      <w:pPr>
        <w:pStyle w:val="ListBulleted"/>
      </w:pPr>
      <w:r w:rsidRPr="00F44EC1">
        <w:t>Scholarly written works</w:t>
      </w:r>
    </w:p>
    <w:p w14:paraId="2662CC2F" w14:textId="77777777" w:rsidR="00F44EC1" w:rsidRDefault="00F44EC1" w:rsidP="00F44EC1">
      <w:pPr>
        <w:pStyle w:val="ListBulleted"/>
        <w:numPr>
          <w:ilvl w:val="1"/>
          <w:numId w:val="8"/>
        </w:numPr>
        <w:ind w:left="720"/>
      </w:pPr>
      <w:r w:rsidRPr="00F44EC1">
        <w:t>Books and book chapters</w:t>
      </w:r>
    </w:p>
    <w:p w14:paraId="420D377E" w14:textId="1E4A6073" w:rsidR="00F44EC1" w:rsidRPr="00F44EC1" w:rsidRDefault="00F44EC1" w:rsidP="00F44EC1">
      <w:pPr>
        <w:pStyle w:val="ListBulleted"/>
        <w:numPr>
          <w:ilvl w:val="1"/>
          <w:numId w:val="8"/>
        </w:numPr>
        <w:ind w:left="720"/>
      </w:pPr>
      <w:r w:rsidRPr="00F44EC1">
        <w:t>Peer-reviewed journal articles</w:t>
      </w:r>
    </w:p>
    <w:p w14:paraId="1016AEF9" w14:textId="57567197" w:rsidR="00F44EC1" w:rsidRPr="00F44EC1" w:rsidRDefault="00F44EC1" w:rsidP="00F44EC1">
      <w:pPr>
        <w:pStyle w:val="ListBulleted"/>
      </w:pPr>
      <w:r w:rsidRPr="00F44EC1">
        <w:t>Scholarly activities</w:t>
      </w:r>
    </w:p>
    <w:p w14:paraId="514343E6" w14:textId="3EDE06F8" w:rsidR="00F44EC1" w:rsidRPr="00F44EC1" w:rsidRDefault="00F44EC1" w:rsidP="00F44EC1">
      <w:pPr>
        <w:pStyle w:val="ListBulleted"/>
        <w:numPr>
          <w:ilvl w:val="1"/>
          <w:numId w:val="8"/>
        </w:numPr>
        <w:ind w:left="720"/>
      </w:pPr>
      <w:r w:rsidRPr="00F44EC1">
        <w:t>Invited talks</w:t>
      </w:r>
    </w:p>
    <w:p w14:paraId="314013A1" w14:textId="77777777" w:rsidR="00F44EC1" w:rsidRDefault="00F44EC1" w:rsidP="00F44EC1">
      <w:pPr>
        <w:pStyle w:val="ListBulleted"/>
        <w:numPr>
          <w:ilvl w:val="1"/>
          <w:numId w:val="8"/>
        </w:numPr>
        <w:ind w:left="720"/>
      </w:pPr>
      <w:r w:rsidRPr="00F44EC1">
        <w:t>Presentations at academic meetings and workshops</w:t>
      </w:r>
    </w:p>
    <w:p w14:paraId="45D90D5E" w14:textId="77777777" w:rsidR="00F44EC1" w:rsidRDefault="00F44EC1" w:rsidP="00F44EC1">
      <w:pPr>
        <w:pStyle w:val="ListBulleted"/>
        <w:numPr>
          <w:ilvl w:val="1"/>
          <w:numId w:val="8"/>
        </w:numPr>
        <w:ind w:left="720"/>
      </w:pPr>
      <w:r w:rsidRPr="00F44EC1">
        <w:t>Presentations at professional conferences and workshops</w:t>
      </w:r>
    </w:p>
    <w:p w14:paraId="30B505D2" w14:textId="77777777" w:rsidR="00F44EC1" w:rsidRDefault="00F44EC1" w:rsidP="00F44EC1">
      <w:pPr>
        <w:pStyle w:val="ListBulleted"/>
        <w:numPr>
          <w:ilvl w:val="1"/>
          <w:numId w:val="8"/>
        </w:numPr>
        <w:ind w:left="720"/>
      </w:pPr>
      <w:r w:rsidRPr="00F44EC1">
        <w:t>Communication of one’s primary research to a non-scientific audience (e.g., technical</w:t>
      </w:r>
      <w:r>
        <w:t xml:space="preserve"> </w:t>
      </w:r>
      <w:r w:rsidRPr="00F44EC1">
        <w:t>reports, agency or corporative briefings, etc.)</w:t>
      </w:r>
    </w:p>
    <w:p w14:paraId="23B9BDB2" w14:textId="1EFB7B47" w:rsidR="00F44EC1" w:rsidRPr="00F44EC1" w:rsidRDefault="00F44EC1" w:rsidP="00F44EC1">
      <w:pPr>
        <w:pStyle w:val="ListBulleted"/>
        <w:numPr>
          <w:ilvl w:val="1"/>
          <w:numId w:val="8"/>
        </w:numPr>
        <w:ind w:left="720"/>
      </w:pPr>
      <w:r w:rsidRPr="00F44EC1">
        <w:t>Serving on advisory committees</w:t>
      </w:r>
    </w:p>
    <w:p w14:paraId="5110659F" w14:textId="77777777" w:rsidR="00F44EC1" w:rsidRDefault="00F44EC1" w:rsidP="00F44EC1">
      <w:pPr>
        <w:pStyle w:val="ListBulleted"/>
      </w:pPr>
      <w:r w:rsidRPr="00F44EC1">
        <w:t>Professional activities</w:t>
      </w:r>
    </w:p>
    <w:p w14:paraId="463C72E0" w14:textId="77777777" w:rsidR="00F44EC1" w:rsidRDefault="00F44EC1" w:rsidP="00F44EC1">
      <w:pPr>
        <w:pStyle w:val="ListBulleted"/>
        <w:numPr>
          <w:ilvl w:val="1"/>
          <w:numId w:val="8"/>
        </w:numPr>
        <w:ind w:left="720"/>
      </w:pPr>
      <w:r w:rsidRPr="00F44EC1">
        <w:t>Organizing academic and professional meetings</w:t>
      </w:r>
    </w:p>
    <w:p w14:paraId="0011CA06" w14:textId="77777777" w:rsidR="00F44EC1" w:rsidRDefault="00F44EC1" w:rsidP="00F44EC1">
      <w:pPr>
        <w:pStyle w:val="ListBulleted"/>
        <w:numPr>
          <w:ilvl w:val="1"/>
          <w:numId w:val="8"/>
        </w:numPr>
        <w:ind w:left="720"/>
      </w:pPr>
      <w:r w:rsidRPr="00F44EC1">
        <w:t>Participating in funding review panels</w:t>
      </w:r>
    </w:p>
    <w:p w14:paraId="6D1EE7EA" w14:textId="19A59354" w:rsidR="00F44EC1" w:rsidRDefault="00F44EC1" w:rsidP="00F44EC1">
      <w:pPr>
        <w:pStyle w:val="ListBulleted"/>
        <w:numPr>
          <w:ilvl w:val="1"/>
          <w:numId w:val="8"/>
        </w:numPr>
        <w:ind w:left="720"/>
      </w:pPr>
      <w:r w:rsidRPr="00F44EC1">
        <w:t>Leadership positions in professional organizations</w:t>
      </w:r>
    </w:p>
    <w:p w14:paraId="171BB282" w14:textId="77777777" w:rsidR="00F44EC1" w:rsidRDefault="00F44EC1" w:rsidP="00F44EC1">
      <w:pPr>
        <w:pStyle w:val="ListBulleted"/>
        <w:numPr>
          <w:ilvl w:val="0"/>
          <w:numId w:val="0"/>
        </w:numPr>
        <w:ind w:left="360" w:hanging="360"/>
      </w:pPr>
    </w:p>
    <w:p w14:paraId="20A6BF4F" w14:textId="4A903AA3" w:rsidR="00F44EC1" w:rsidRDefault="00F44EC1" w:rsidP="00F44EC1">
      <w:pPr>
        <w:pStyle w:val="ListBulleted"/>
        <w:numPr>
          <w:ilvl w:val="0"/>
          <w:numId w:val="0"/>
        </w:numPr>
      </w:pPr>
      <w:r w:rsidRPr="00F44EC1">
        <w:t>Additional activities that take primary research (generation of new knowledge) and translate it for use</w:t>
      </w:r>
      <w:r>
        <w:t xml:space="preserve"> </w:t>
      </w:r>
      <w:r w:rsidRPr="00F44EC1">
        <w:t>by, and benefit of, a lay audience may be considered. Examples include primary research</w:t>
      </w:r>
      <w:r>
        <w:t xml:space="preserve"> </w:t>
      </w:r>
      <w:r w:rsidRPr="00F44EC1">
        <w:t>communicated through technical reports, science-based datasets or tools, public workshops, etc.</w:t>
      </w:r>
    </w:p>
    <w:p w14:paraId="137FE8D5" w14:textId="77777777" w:rsidR="007C6D0A" w:rsidRPr="00F44EC1" w:rsidRDefault="007C6D0A" w:rsidP="00F44EC1">
      <w:pPr>
        <w:pStyle w:val="ListBulleted"/>
        <w:numPr>
          <w:ilvl w:val="0"/>
          <w:numId w:val="0"/>
        </w:numPr>
      </w:pPr>
    </w:p>
    <w:p w14:paraId="05F6B26E" w14:textId="4BDCC1FF" w:rsidR="00F44EC1" w:rsidRPr="00F44EC1" w:rsidRDefault="00F44EC1" w:rsidP="00F44EC1">
      <w:pPr>
        <w:pStyle w:val="ListBulleted"/>
        <w:numPr>
          <w:ilvl w:val="0"/>
          <w:numId w:val="0"/>
        </w:numPr>
      </w:pPr>
      <w:r w:rsidRPr="00F44EC1">
        <w:rPr>
          <w:b/>
          <w:bCs/>
        </w:rPr>
        <w:t xml:space="preserve">NOTE: </w:t>
      </w:r>
      <w:r w:rsidRPr="00F44EC1">
        <w:t>The focus here is on activities that generate new knowledge. Most of these will b</w:t>
      </w:r>
      <w:r>
        <w:t xml:space="preserve">e </w:t>
      </w:r>
      <w:r w:rsidRPr="00F44EC1">
        <w:t>communicated to peers (e.g., peer reviewed journal articles), however, those communicated t</w:t>
      </w:r>
      <w:r>
        <w:t xml:space="preserve">o </w:t>
      </w:r>
      <w:r w:rsidRPr="00F44EC1">
        <w:t>audiences who are direct beneficiaries of the new knowledge (e.g., technical reports, workshops) can</w:t>
      </w:r>
      <w:r>
        <w:t xml:space="preserve"> </w:t>
      </w:r>
      <w:r w:rsidRPr="00F44EC1">
        <w:t>also be considered. This differs from activities that summarize and communicate existing knowledge</w:t>
      </w:r>
      <w:r>
        <w:t xml:space="preserve"> </w:t>
      </w:r>
      <w:r w:rsidRPr="00F44EC1">
        <w:t>(e.g., outreach), which will not be considered.</w:t>
      </w:r>
    </w:p>
    <w:p w14:paraId="73FEC0CC" w14:textId="7A00A63F" w:rsidR="00F44EC1" w:rsidRPr="00F44EC1" w:rsidRDefault="00F44EC1" w:rsidP="00F44EC1">
      <w:pPr>
        <w:pStyle w:val="Heading3"/>
      </w:pPr>
      <w:r w:rsidRPr="00F44EC1">
        <w:t>AN ACTIVE PROGRAM OF RESEARCH/SCHOLARLY ACTIVITY</w:t>
      </w:r>
    </w:p>
    <w:p w14:paraId="48D6DC5F" w14:textId="3C701459" w:rsidR="00F44EC1" w:rsidRPr="00F44EC1" w:rsidRDefault="00F44EC1" w:rsidP="00F44EC1">
      <w:pPr>
        <w:pStyle w:val="ListBulleted"/>
        <w:numPr>
          <w:ilvl w:val="0"/>
          <w:numId w:val="0"/>
        </w:numPr>
      </w:pPr>
      <w:r w:rsidRPr="00F44EC1">
        <w:t xml:space="preserve">The </w:t>
      </w:r>
      <w:r w:rsidR="006773F4">
        <w:t>college</w:t>
      </w:r>
      <w:r w:rsidRPr="00F44EC1">
        <w:t xml:space="preserve"> recognizes that research and scholarly activity occurs at different rates for differen</w:t>
      </w:r>
      <w:r>
        <w:t xml:space="preserve">t </w:t>
      </w:r>
      <w:r w:rsidRPr="00F44EC1">
        <w:t xml:space="preserve">disciplines and there are also different forms of evidence for different </w:t>
      </w:r>
      <w:r w:rsidRPr="00F44EC1">
        <w:lastRenderedPageBreak/>
        <w:t>disciplines. The EMS GFNEC will</w:t>
      </w:r>
      <w:r>
        <w:t xml:space="preserve"> </w:t>
      </w:r>
      <w:r w:rsidRPr="00F44EC1">
        <w:t>incorporate this variability in its assessment of candidates.</w:t>
      </w:r>
    </w:p>
    <w:p w14:paraId="03C2CA82" w14:textId="59BA4ED8" w:rsidR="00F44EC1" w:rsidRPr="00F44EC1" w:rsidRDefault="00F44EC1" w:rsidP="00F44EC1">
      <w:pPr>
        <w:pStyle w:val="ListBulleted"/>
        <w:numPr>
          <w:ilvl w:val="0"/>
          <w:numId w:val="0"/>
        </w:numPr>
      </w:pPr>
      <w:r w:rsidRPr="00F44EC1">
        <w:t xml:space="preserve">Assessment for membership in the </w:t>
      </w:r>
      <w:r w:rsidR="006773F4">
        <w:t>graduate faculty</w:t>
      </w:r>
      <w:r w:rsidRPr="00F44EC1">
        <w:t xml:space="preserve"> is </w:t>
      </w:r>
      <w:r w:rsidRPr="00F44EC1">
        <w:rPr>
          <w:i/>
          <w:iCs/>
        </w:rPr>
        <w:t xml:space="preserve">not </w:t>
      </w:r>
      <w:r w:rsidRPr="00F44EC1">
        <w:t>formulaic; each nominee’s</w:t>
      </w:r>
      <w:r>
        <w:t xml:space="preserve"> </w:t>
      </w:r>
      <w:r w:rsidRPr="00F44EC1">
        <w:t>accomplishments are considered holistically. Faculty members with ongoing journal publications or</w:t>
      </w:r>
      <w:r>
        <w:t xml:space="preserve"> </w:t>
      </w:r>
      <w:r w:rsidRPr="00F44EC1">
        <w:t xml:space="preserve">very recent books, combined with other </w:t>
      </w:r>
      <w:r w:rsidRPr="00F44EC1">
        <w:rPr>
          <w:i/>
          <w:iCs/>
        </w:rPr>
        <w:t xml:space="preserve">ongoing </w:t>
      </w:r>
      <w:r w:rsidRPr="00F44EC1">
        <w:t>scholarly and professional activities, would be well</w:t>
      </w:r>
      <w:r w:rsidR="007C6D0A">
        <w:t xml:space="preserve"> </w:t>
      </w:r>
      <w:r w:rsidRPr="00F44EC1">
        <w:t>qualified</w:t>
      </w:r>
      <w:r>
        <w:t xml:space="preserve"> </w:t>
      </w:r>
      <w:r w:rsidRPr="00F44EC1">
        <w:t xml:space="preserve">for membership in Category Q or R of the </w:t>
      </w:r>
      <w:r w:rsidR="006773F4">
        <w:t>graduate faculty</w:t>
      </w:r>
      <w:r w:rsidRPr="00F44EC1">
        <w:t>.</w:t>
      </w:r>
    </w:p>
    <w:p w14:paraId="401CFB89" w14:textId="2C1B3412" w:rsidR="00F44EC1" w:rsidRPr="00F44EC1" w:rsidRDefault="00F44EC1" w:rsidP="00405D12">
      <w:pPr>
        <w:pStyle w:val="Heading1"/>
      </w:pPr>
      <w:r w:rsidRPr="00F44EC1">
        <w:t>EMS Continuing Approval to Teach</w:t>
      </w:r>
      <w:r w:rsidR="006773F4">
        <w:t xml:space="preserve"> </w:t>
      </w:r>
      <w:r w:rsidRPr="00F44EC1">
        <w:t>Qualifications</w:t>
      </w:r>
    </w:p>
    <w:p w14:paraId="6999AA81" w14:textId="639348C6" w:rsidR="00F44EC1" w:rsidRDefault="00F44EC1" w:rsidP="00F44EC1">
      <w:pPr>
        <w:pStyle w:val="ListBulleted"/>
        <w:numPr>
          <w:ilvl w:val="0"/>
          <w:numId w:val="0"/>
        </w:numPr>
      </w:pPr>
      <w:r w:rsidRPr="00F44EC1">
        <w:t xml:space="preserve">Individuals who are not members of the </w:t>
      </w:r>
      <w:r w:rsidR="006773F4">
        <w:t>graduate faculty</w:t>
      </w:r>
      <w:r w:rsidRPr="00F44EC1">
        <w:t xml:space="preserve"> may teach specific graduate courses for one</w:t>
      </w:r>
      <w:r>
        <w:t xml:space="preserve"> </w:t>
      </w:r>
      <w:r w:rsidRPr="00F44EC1">
        <w:t>year when approved by the head of the graduate program offering the course. After the initial</w:t>
      </w:r>
      <w:r>
        <w:t xml:space="preserve"> </w:t>
      </w:r>
      <w:r w:rsidRPr="00F44EC1">
        <w:t>approval to teach, requests for continuation of the Approval to Teach will be reviewed and approved</w:t>
      </w:r>
      <w:r>
        <w:t xml:space="preserve"> </w:t>
      </w:r>
      <w:r w:rsidRPr="00F44EC1">
        <w:t>by GFNEC based on the qualifications described below and in accordance with Graduate Council policy</w:t>
      </w:r>
      <w:r>
        <w:t xml:space="preserve"> </w:t>
      </w:r>
      <w:hyperlink r:id="rId12" w:history="1">
        <w:r w:rsidRPr="00F44EC1">
          <w:rPr>
            <w:rStyle w:val="Hyperlink"/>
          </w:rPr>
          <w:t>GCAC-101 Graduate Faculty Membership</w:t>
        </w:r>
      </w:hyperlink>
      <w:r w:rsidRPr="00F44EC1">
        <w:t>. Required documents include CV, formal student evaluations,</w:t>
      </w:r>
      <w:r>
        <w:t xml:space="preserve"> </w:t>
      </w:r>
      <w:r w:rsidRPr="00F44EC1">
        <w:t>peer evaluation, and syllabi for special topic courses. Individuals with continuing Approval to Teach are</w:t>
      </w:r>
      <w:r>
        <w:t xml:space="preserve"> </w:t>
      </w:r>
      <w:r w:rsidRPr="00F44EC1">
        <w:t>then subject to Performance Evaluations every four years which require student and peer evaluations.</w:t>
      </w:r>
      <w:r>
        <w:t xml:space="preserve"> </w:t>
      </w:r>
      <w:r w:rsidRPr="00F44EC1">
        <w:t xml:space="preserve">Process and procedure documentation are outlined in </w:t>
      </w:r>
      <w:hyperlink r:id="rId13" w:history="1">
        <w:r w:rsidRPr="00F44EC1">
          <w:rPr>
            <w:rStyle w:val="Hyperlink"/>
          </w:rPr>
          <w:t>GCAC-101</w:t>
        </w:r>
      </w:hyperlink>
      <w:r w:rsidRPr="00F44EC1">
        <w:t>.</w:t>
      </w:r>
    </w:p>
    <w:p w14:paraId="472F0DA0" w14:textId="77777777" w:rsidR="00F44EC1" w:rsidRPr="00F44EC1" w:rsidRDefault="00F44EC1" w:rsidP="00F44EC1">
      <w:pPr>
        <w:pStyle w:val="Heading3"/>
      </w:pPr>
      <w:r w:rsidRPr="00F44EC1">
        <w:t>Peer Evaluation</w:t>
      </w:r>
    </w:p>
    <w:p w14:paraId="4263A4E8" w14:textId="13B582ED" w:rsidR="00405D12" w:rsidRPr="00F44EC1" w:rsidRDefault="00F44EC1" w:rsidP="00405D12">
      <w:pPr>
        <w:pStyle w:val="ListBulleted"/>
        <w:numPr>
          <w:ilvl w:val="0"/>
          <w:numId w:val="0"/>
        </w:numPr>
      </w:pPr>
      <w:r w:rsidRPr="00F44EC1">
        <w:t xml:space="preserve">Peer evaluations should focus on aspects of the instructor’s skill in teaching the </w:t>
      </w:r>
      <w:proofErr w:type="gramStart"/>
      <w:r w:rsidRPr="00F44EC1">
        <w:t>course</w:t>
      </w:r>
      <w:proofErr w:type="gramEnd"/>
      <w:r w:rsidRPr="00F44EC1">
        <w:t xml:space="preserve"> </w:t>
      </w:r>
      <w:r w:rsidRPr="00F44EC1">
        <w:rPr>
          <w:i/>
          <w:iCs/>
        </w:rPr>
        <w:t>that are not</w:t>
      </w:r>
      <w:r w:rsidR="00405D12">
        <w:rPr>
          <w:i/>
          <w:iCs/>
        </w:rPr>
        <w:t xml:space="preserve"> </w:t>
      </w:r>
      <w:r w:rsidRPr="00F44EC1">
        <w:rPr>
          <w:i/>
          <w:iCs/>
        </w:rPr>
        <w:t>apparent from student evaluations</w:t>
      </w:r>
      <w:r w:rsidRPr="00F44EC1">
        <w:t>. Programs are encouraged to use a standardized rubric that focuses</w:t>
      </w:r>
      <w:r w:rsidR="00405D12">
        <w:rPr>
          <w:i/>
          <w:iCs/>
        </w:rPr>
        <w:t xml:space="preserve"> </w:t>
      </w:r>
      <w:r w:rsidRPr="00F44EC1">
        <w:t>on the instructor’s teaching ability.</w:t>
      </w:r>
    </w:p>
    <w:p w14:paraId="6F86D9F4" w14:textId="77777777" w:rsidR="00F44EC1" w:rsidRPr="00F44EC1" w:rsidRDefault="00F44EC1" w:rsidP="00405D12">
      <w:pPr>
        <w:pStyle w:val="Heading3"/>
      </w:pPr>
      <w:r w:rsidRPr="00F44EC1">
        <w:t>Formal Student Evaluation</w:t>
      </w:r>
    </w:p>
    <w:p w14:paraId="7FFEE447" w14:textId="4728DE22" w:rsidR="00405D12" w:rsidRDefault="00F44EC1" w:rsidP="00405D12">
      <w:pPr>
        <w:pStyle w:val="ListBulleted"/>
        <w:numPr>
          <w:ilvl w:val="0"/>
          <w:numId w:val="0"/>
        </w:numPr>
      </w:pPr>
      <w:r w:rsidRPr="00F44EC1">
        <w:t>Similarly, the review of PSU administered formal student evaluations for renewal of Approval to Teach</w:t>
      </w:r>
      <w:r w:rsidR="00405D12">
        <w:t xml:space="preserve"> </w:t>
      </w:r>
      <w:r w:rsidRPr="00F44EC1">
        <w:t>should focus on the instructor’s skill in teaching the course, not on course content. The GFNEC and</w:t>
      </w:r>
      <w:r w:rsidR="00405D12">
        <w:t xml:space="preserve"> </w:t>
      </w:r>
      <w:r w:rsidRPr="00F44EC1">
        <w:t>Graduate School should look carefully at those metrics related specifically to instructor skill, and to</w:t>
      </w:r>
      <w:r w:rsidR="00405D12">
        <w:t xml:space="preserve"> </w:t>
      </w:r>
      <w:r w:rsidRPr="00F44EC1">
        <w:t>specific comments from students. A potential outcome in cases of less than exemplary evaluations is</w:t>
      </w:r>
      <w:r w:rsidR="00405D12">
        <w:t xml:space="preserve"> </w:t>
      </w:r>
      <w:r w:rsidRPr="00F44EC1">
        <w:t>renewal for one year (instead of three years), with an expectation of demonstrated improvement fo</w:t>
      </w:r>
      <w:r w:rsidR="00405D12">
        <w:t xml:space="preserve">r </w:t>
      </w:r>
      <w:r w:rsidRPr="00F44EC1">
        <w:t>future renewals.</w:t>
      </w:r>
    </w:p>
    <w:p w14:paraId="3B16FCC1" w14:textId="77777777" w:rsidR="00405D12" w:rsidRPr="00405D12" w:rsidRDefault="00405D12" w:rsidP="00405D12">
      <w:pPr>
        <w:pStyle w:val="Heading1"/>
      </w:pPr>
      <w:r w:rsidRPr="00405D12">
        <w:t>500-Level Research Education Courses</w:t>
      </w:r>
    </w:p>
    <w:p w14:paraId="3E4B3EFC" w14:textId="0B09E43B" w:rsidR="00405D12" w:rsidRPr="00405D12" w:rsidRDefault="00405D12" w:rsidP="00405D12">
      <w:pPr>
        <w:pStyle w:val="ListBulleted"/>
        <w:numPr>
          <w:ilvl w:val="0"/>
          <w:numId w:val="0"/>
        </w:numPr>
      </w:pPr>
      <w:r w:rsidRPr="00405D12">
        <w:t>To maintain standards across all 500-level courses, approval to teach 500-level courses requires a</w:t>
      </w:r>
      <w:r>
        <w:t xml:space="preserve"> </w:t>
      </w:r>
      <w:r w:rsidRPr="00405D12">
        <w:t>doctoral degree, a record of scholarly achievement, and an active program of research/scholarly</w:t>
      </w:r>
      <w:r>
        <w:t xml:space="preserve"> </w:t>
      </w:r>
      <w:r w:rsidRPr="00405D12">
        <w:t>activity, appropriate to the field.</w:t>
      </w:r>
    </w:p>
    <w:p w14:paraId="36917999" w14:textId="77777777" w:rsidR="00405D12" w:rsidRDefault="00405D12" w:rsidP="00405D12">
      <w:pPr>
        <w:pStyle w:val="ListBulleted"/>
        <w:numPr>
          <w:ilvl w:val="0"/>
          <w:numId w:val="0"/>
        </w:numPr>
        <w:ind w:left="360" w:hanging="360"/>
        <w:rPr>
          <w:b/>
          <w:bCs/>
        </w:rPr>
      </w:pPr>
    </w:p>
    <w:p w14:paraId="6CA1C3FA" w14:textId="14E8354D" w:rsidR="00405D12" w:rsidRPr="00405D12" w:rsidRDefault="00405D12" w:rsidP="00405D12">
      <w:pPr>
        <w:pStyle w:val="Heading3"/>
      </w:pPr>
      <w:r w:rsidRPr="00405D12">
        <w:lastRenderedPageBreak/>
        <w:t>A RECORD OF SCHOLARLY ACHIEVEMENT APPROPRIATE TO THE RESEARCH DEGREE FIELD</w:t>
      </w:r>
    </w:p>
    <w:p w14:paraId="039CEFA7" w14:textId="1C5B389B" w:rsidR="00405D12" w:rsidRDefault="00405D12" w:rsidP="00405D12">
      <w:pPr>
        <w:pStyle w:val="ListBulleted"/>
        <w:numPr>
          <w:ilvl w:val="0"/>
          <w:numId w:val="0"/>
        </w:numPr>
      </w:pPr>
      <w:r w:rsidRPr="00405D12">
        <w:t xml:space="preserve">The requirement for an </w:t>
      </w:r>
      <w:r w:rsidRPr="00405D12">
        <w:rPr>
          <w:i/>
          <w:iCs/>
        </w:rPr>
        <w:t xml:space="preserve">active program of scholarly research </w:t>
      </w:r>
      <w:r w:rsidRPr="00405D12">
        <w:t>is based on the fundamental valu</w:t>
      </w:r>
      <w:r>
        <w:t xml:space="preserve">e </w:t>
      </w:r>
      <w:r w:rsidRPr="00405D12">
        <w:t>proposition for graduate-level research education at a research-intensive University:</w:t>
      </w:r>
    </w:p>
    <w:p w14:paraId="328D8879" w14:textId="77777777" w:rsidR="00405D12" w:rsidRDefault="00405D12" w:rsidP="00405D12">
      <w:pPr>
        <w:pStyle w:val="ListBulleted"/>
        <w:numPr>
          <w:ilvl w:val="0"/>
          <w:numId w:val="0"/>
        </w:numPr>
      </w:pPr>
    </w:p>
    <w:p w14:paraId="1EEE9DB6" w14:textId="5697C28A" w:rsidR="00405D12" w:rsidRDefault="00405D12" w:rsidP="00405D12">
      <w:pPr>
        <w:pStyle w:val="ListBulleted"/>
        <w:numPr>
          <w:ilvl w:val="0"/>
          <w:numId w:val="0"/>
        </w:numPr>
        <w:ind w:left="360"/>
      </w:pPr>
      <w:r w:rsidRPr="00405D12">
        <w:t xml:space="preserve">Students should be taught by </w:t>
      </w:r>
      <w:r w:rsidRPr="00405D12">
        <w:rPr>
          <w:i/>
          <w:iCs/>
        </w:rPr>
        <w:t>individuals at the forefront of creating new knowledge</w:t>
      </w:r>
      <w:r w:rsidRPr="00405D12">
        <w:t>, ensuring that</w:t>
      </w:r>
      <w:r>
        <w:t xml:space="preserve"> </w:t>
      </w:r>
      <w:r w:rsidRPr="00405D12">
        <w:t>students are exposed to not only the latest knowledge in the field, but the latest intellectual</w:t>
      </w:r>
      <w:r>
        <w:t xml:space="preserve"> </w:t>
      </w:r>
      <w:r w:rsidRPr="00405D12">
        <w:t>approaches as well.</w:t>
      </w:r>
    </w:p>
    <w:p w14:paraId="36BA1465" w14:textId="77777777" w:rsidR="00405D12" w:rsidRPr="00405D12" w:rsidRDefault="00405D12" w:rsidP="00405D12">
      <w:pPr>
        <w:pStyle w:val="ListBulleted"/>
        <w:numPr>
          <w:ilvl w:val="0"/>
          <w:numId w:val="0"/>
        </w:numPr>
      </w:pPr>
    </w:p>
    <w:p w14:paraId="49FD952D" w14:textId="77719705" w:rsidR="00405D12" w:rsidRPr="00405D12" w:rsidRDefault="00405D12" w:rsidP="00405D12">
      <w:pPr>
        <w:pStyle w:val="ListBulleted"/>
        <w:numPr>
          <w:ilvl w:val="0"/>
          <w:numId w:val="0"/>
        </w:numPr>
      </w:pPr>
      <w:r w:rsidRPr="00405D12">
        <w:t xml:space="preserve">The </w:t>
      </w:r>
      <w:r w:rsidR="006773F4">
        <w:t>college</w:t>
      </w:r>
      <w:r w:rsidRPr="00405D12">
        <w:t xml:space="preserve"> and Graduate School recognizes that the breadth of fields of study offered means that no</w:t>
      </w:r>
      <w:r>
        <w:t xml:space="preserve"> </w:t>
      </w:r>
      <w:r w:rsidRPr="00405D12">
        <w:t>simple standard can be applied to evaluate a proposed instructor’s “record of scholarly achievement</w:t>
      </w:r>
      <w:r>
        <w:t>.</w:t>
      </w:r>
      <w:r w:rsidRPr="00405D12">
        <w:t>”</w:t>
      </w:r>
      <w:r>
        <w:t xml:space="preserve"> </w:t>
      </w:r>
      <w:proofErr w:type="gramStart"/>
      <w:r w:rsidRPr="00405D12">
        <w:rPr>
          <w:i/>
          <w:iCs/>
        </w:rPr>
        <w:t>Each individual</w:t>
      </w:r>
      <w:proofErr w:type="gramEnd"/>
      <w:r w:rsidRPr="00405D12">
        <w:rPr>
          <w:i/>
          <w:iCs/>
        </w:rPr>
        <w:t xml:space="preserve"> is evaluated according to the standards of their </w:t>
      </w:r>
      <w:proofErr w:type="gramStart"/>
      <w:r w:rsidRPr="00405D12">
        <w:rPr>
          <w:i/>
          <w:iCs/>
        </w:rPr>
        <w:t>particular field</w:t>
      </w:r>
      <w:proofErr w:type="gramEnd"/>
      <w:r w:rsidRPr="00405D12">
        <w:rPr>
          <w:i/>
          <w:iCs/>
        </w:rPr>
        <w:t xml:space="preserve"> of study.</w:t>
      </w:r>
    </w:p>
    <w:p w14:paraId="573851DA" w14:textId="77777777" w:rsidR="00405D12" w:rsidRDefault="00405D12" w:rsidP="00405D12">
      <w:pPr>
        <w:pStyle w:val="ListBulleted"/>
        <w:numPr>
          <w:ilvl w:val="0"/>
          <w:numId w:val="0"/>
        </w:numPr>
      </w:pPr>
    </w:p>
    <w:p w14:paraId="163733D9" w14:textId="484DB3F2" w:rsidR="00405D12" w:rsidRPr="00405D12" w:rsidRDefault="00405D12" w:rsidP="00405D12">
      <w:pPr>
        <w:pStyle w:val="ListBulleted"/>
        <w:numPr>
          <w:ilvl w:val="0"/>
          <w:numId w:val="0"/>
        </w:numPr>
      </w:pPr>
      <w:r w:rsidRPr="00405D12">
        <w:t>In recognition of the short-term commitment typically represented by a request for approval to teach</w:t>
      </w:r>
      <w:r>
        <w:t xml:space="preserve"> </w:t>
      </w:r>
      <w:r w:rsidRPr="00405D12">
        <w:t xml:space="preserve">graduate courses, the </w:t>
      </w:r>
      <w:r w:rsidR="006773F4">
        <w:t>college</w:t>
      </w:r>
      <w:r w:rsidRPr="00405D12">
        <w:t xml:space="preserve"> and Graduate School provides some additional flexibility in considering</w:t>
      </w:r>
      <w:r>
        <w:t xml:space="preserve"> </w:t>
      </w:r>
      <w:r w:rsidRPr="00405D12">
        <w:t>evidence of “an active program of research/scholarly activity.” Illustrative examples sufficient for</w:t>
      </w:r>
      <w:r>
        <w:t xml:space="preserve"> </w:t>
      </w:r>
      <w:r w:rsidRPr="00405D12">
        <w:t>approval to teach 500-level courses typically include one or more of the scholarly activities listed below</w:t>
      </w:r>
      <w:r>
        <w:t xml:space="preserve"> </w:t>
      </w:r>
      <w:r w:rsidRPr="00405D12">
        <w:t xml:space="preserve">over the past four years. NOTE: </w:t>
      </w:r>
      <w:r w:rsidRPr="00405D12">
        <w:rPr>
          <w:i/>
          <w:iCs/>
        </w:rPr>
        <w:t>the lists presented below are not intended to be considered exhaustive.</w:t>
      </w:r>
    </w:p>
    <w:p w14:paraId="2820D912" w14:textId="77777777" w:rsidR="00405D12" w:rsidRDefault="00405D12" w:rsidP="00405D12">
      <w:pPr>
        <w:pStyle w:val="ListBulleted"/>
      </w:pPr>
      <w:r w:rsidRPr="00405D12">
        <w:t>Scholarly written works</w:t>
      </w:r>
    </w:p>
    <w:p w14:paraId="690588E4" w14:textId="77777777" w:rsidR="00405D12" w:rsidRDefault="00405D12" w:rsidP="00405D12">
      <w:pPr>
        <w:pStyle w:val="ListBulleted"/>
        <w:numPr>
          <w:ilvl w:val="1"/>
          <w:numId w:val="8"/>
        </w:numPr>
        <w:ind w:left="720"/>
      </w:pPr>
      <w:r w:rsidRPr="00405D12">
        <w:t>Books and book chapters</w:t>
      </w:r>
    </w:p>
    <w:p w14:paraId="56EDC56F" w14:textId="309F4422" w:rsidR="00405D12" w:rsidRDefault="00405D12" w:rsidP="00405D12">
      <w:pPr>
        <w:pStyle w:val="ListBulleted"/>
        <w:numPr>
          <w:ilvl w:val="1"/>
          <w:numId w:val="8"/>
        </w:numPr>
        <w:ind w:left="720"/>
      </w:pPr>
      <w:r w:rsidRPr="00405D12">
        <w:t>Peer-reviewed journal articles</w:t>
      </w:r>
    </w:p>
    <w:p w14:paraId="54B01BF5" w14:textId="46D7914B" w:rsidR="00405D12" w:rsidRPr="00405D12" w:rsidRDefault="00405D12" w:rsidP="00405D12">
      <w:pPr>
        <w:pStyle w:val="ListBulleted"/>
      </w:pPr>
      <w:r w:rsidRPr="00405D12">
        <w:t>Scholarly activities</w:t>
      </w:r>
    </w:p>
    <w:p w14:paraId="032D750D" w14:textId="7CF97B18" w:rsidR="00405D12" w:rsidRPr="00405D12" w:rsidRDefault="00405D12" w:rsidP="00405D12">
      <w:pPr>
        <w:pStyle w:val="ListBulleted"/>
        <w:numPr>
          <w:ilvl w:val="1"/>
          <w:numId w:val="8"/>
        </w:numPr>
        <w:ind w:left="720"/>
      </w:pPr>
      <w:r w:rsidRPr="00405D12">
        <w:t>Invited talks</w:t>
      </w:r>
    </w:p>
    <w:p w14:paraId="091F7671" w14:textId="77777777" w:rsidR="00405D12" w:rsidRDefault="00405D12" w:rsidP="00405D12">
      <w:pPr>
        <w:pStyle w:val="ListBulleted"/>
        <w:numPr>
          <w:ilvl w:val="1"/>
          <w:numId w:val="8"/>
        </w:numPr>
        <w:ind w:left="720"/>
      </w:pPr>
      <w:r w:rsidRPr="00405D12">
        <w:t>Presentations at academic meetings and workshops</w:t>
      </w:r>
    </w:p>
    <w:p w14:paraId="6AC4AC1D" w14:textId="77777777" w:rsidR="00405D12" w:rsidRDefault="00405D12" w:rsidP="00405D12">
      <w:pPr>
        <w:pStyle w:val="ListBulleted"/>
        <w:numPr>
          <w:ilvl w:val="1"/>
          <w:numId w:val="8"/>
        </w:numPr>
        <w:ind w:left="720"/>
      </w:pPr>
      <w:r w:rsidRPr="00405D12">
        <w:t>Presentations at professional conferences and workshops</w:t>
      </w:r>
    </w:p>
    <w:p w14:paraId="782FD5E8" w14:textId="16B176B3" w:rsidR="00405D12" w:rsidRPr="00405D12" w:rsidRDefault="00405D12" w:rsidP="00405D12">
      <w:pPr>
        <w:pStyle w:val="ListBulleted"/>
        <w:numPr>
          <w:ilvl w:val="1"/>
          <w:numId w:val="8"/>
        </w:numPr>
        <w:ind w:left="720"/>
      </w:pPr>
      <w:r w:rsidRPr="00405D12">
        <w:t>Communication of one’s primary research to a non-scientific audience (e.g., technical</w:t>
      </w:r>
      <w:r>
        <w:t xml:space="preserve"> </w:t>
      </w:r>
      <w:r w:rsidRPr="00405D12">
        <w:t>reports, agency or corporate briefings etc.)</w:t>
      </w:r>
    </w:p>
    <w:p w14:paraId="5E2E1213" w14:textId="37AAE554" w:rsidR="00405D12" w:rsidRPr="00405D12" w:rsidRDefault="00405D12" w:rsidP="00405D12">
      <w:pPr>
        <w:pStyle w:val="ListBulleted"/>
        <w:numPr>
          <w:ilvl w:val="1"/>
          <w:numId w:val="8"/>
        </w:numPr>
        <w:ind w:left="720"/>
      </w:pPr>
      <w:r w:rsidRPr="00405D12">
        <w:t>Serving on advisory committees</w:t>
      </w:r>
    </w:p>
    <w:p w14:paraId="28785937" w14:textId="71995B5F" w:rsidR="00405D12" w:rsidRPr="00405D12" w:rsidRDefault="00405D12" w:rsidP="00405D12">
      <w:pPr>
        <w:pStyle w:val="ListBulleted"/>
      </w:pPr>
      <w:r w:rsidRPr="00405D12">
        <w:t>Professional activities</w:t>
      </w:r>
    </w:p>
    <w:p w14:paraId="2C03658E" w14:textId="4B1F9929" w:rsidR="00405D12" w:rsidRPr="00405D12" w:rsidRDefault="00405D12" w:rsidP="00405D12">
      <w:pPr>
        <w:pStyle w:val="ListBulleted"/>
        <w:numPr>
          <w:ilvl w:val="1"/>
          <w:numId w:val="8"/>
        </w:numPr>
        <w:ind w:left="720"/>
      </w:pPr>
      <w:r w:rsidRPr="00405D12">
        <w:t>Organizing academic and professional meetings</w:t>
      </w:r>
    </w:p>
    <w:p w14:paraId="20271793" w14:textId="77777777" w:rsidR="00405D12" w:rsidRDefault="00405D12" w:rsidP="00405D12">
      <w:pPr>
        <w:pStyle w:val="ListBulleted"/>
        <w:numPr>
          <w:ilvl w:val="1"/>
          <w:numId w:val="8"/>
        </w:numPr>
        <w:ind w:left="720"/>
      </w:pPr>
      <w:r w:rsidRPr="00405D12">
        <w:t>Participating in funding review panels</w:t>
      </w:r>
    </w:p>
    <w:p w14:paraId="3BFABFA2" w14:textId="412E16A2" w:rsidR="00405D12" w:rsidRDefault="00405D12" w:rsidP="00405D12">
      <w:pPr>
        <w:pStyle w:val="ListBulleted"/>
        <w:numPr>
          <w:ilvl w:val="1"/>
          <w:numId w:val="8"/>
        </w:numPr>
        <w:ind w:left="720"/>
      </w:pPr>
      <w:r w:rsidRPr="00405D12">
        <w:t>Leadership positions in professional organizations</w:t>
      </w:r>
    </w:p>
    <w:p w14:paraId="6207FA3C" w14:textId="77777777" w:rsidR="00405D12" w:rsidRDefault="00405D12" w:rsidP="00405D12">
      <w:pPr>
        <w:pStyle w:val="ListBulleted"/>
        <w:numPr>
          <w:ilvl w:val="0"/>
          <w:numId w:val="0"/>
        </w:numPr>
        <w:ind w:left="360" w:hanging="360"/>
      </w:pPr>
    </w:p>
    <w:p w14:paraId="2BEC2342" w14:textId="77777777" w:rsidR="00405D12" w:rsidRPr="00405D12" w:rsidRDefault="00405D12" w:rsidP="00405D12">
      <w:pPr>
        <w:pStyle w:val="Heading1"/>
      </w:pPr>
      <w:r w:rsidRPr="00405D12">
        <w:lastRenderedPageBreak/>
        <w:t>800-Level Professional Education Courses</w:t>
      </w:r>
    </w:p>
    <w:p w14:paraId="1893AD04" w14:textId="0659D24C" w:rsidR="00405D12" w:rsidRDefault="00405D12" w:rsidP="00405D12">
      <w:pPr>
        <w:pStyle w:val="ListBulleted"/>
        <w:numPr>
          <w:ilvl w:val="0"/>
          <w:numId w:val="0"/>
        </w:numPr>
      </w:pPr>
      <w:r w:rsidRPr="00405D12">
        <w:t>To maintain standards across all 800-level courses, approval to teach 800-level courses requires a</w:t>
      </w:r>
      <w:r>
        <w:t xml:space="preserve"> </w:t>
      </w:r>
      <w:r w:rsidRPr="00405D12">
        <w:t xml:space="preserve">master’s degree, and </w:t>
      </w:r>
      <w:r w:rsidRPr="00405D12">
        <w:rPr>
          <w:i/>
          <w:iCs/>
        </w:rPr>
        <w:t>professional experience relevant to the professional degree program field</w:t>
      </w:r>
      <w:r w:rsidRPr="00405D12">
        <w:t>.</w:t>
      </w:r>
    </w:p>
    <w:p w14:paraId="491368A9" w14:textId="77777777" w:rsidR="00405D12" w:rsidRPr="00405D12" w:rsidRDefault="00405D12" w:rsidP="00405D12">
      <w:pPr>
        <w:pStyle w:val="Heading3"/>
      </w:pPr>
      <w:r w:rsidRPr="00405D12">
        <w:t>A RECORD OF SCHOLARLY ACHIEVEMENT APPROPRIATE TO THE RESEARCH DEGREE FIELD</w:t>
      </w:r>
    </w:p>
    <w:p w14:paraId="1BE2A043" w14:textId="00EFFB27" w:rsidR="00405D12" w:rsidRPr="00405D12" w:rsidRDefault="00405D12" w:rsidP="00405D12">
      <w:pPr>
        <w:pStyle w:val="ListBulleted"/>
        <w:numPr>
          <w:ilvl w:val="0"/>
          <w:numId w:val="0"/>
        </w:numPr>
      </w:pPr>
      <w:r w:rsidRPr="00405D12">
        <w:t xml:space="preserve">The requirement for </w:t>
      </w:r>
      <w:r w:rsidRPr="00405D12">
        <w:rPr>
          <w:i/>
          <w:iCs/>
        </w:rPr>
        <w:t xml:space="preserve">professional experience relevant to the professional degree program field </w:t>
      </w:r>
      <w:r w:rsidRPr="00405D12">
        <w:t>is an</w:t>
      </w:r>
      <w:r>
        <w:t xml:space="preserve"> </w:t>
      </w:r>
      <w:r w:rsidRPr="00405D12">
        <w:t>extension of the fundamental value proposition for graduate level education at a research- intensive</w:t>
      </w:r>
      <w:r>
        <w:t xml:space="preserve"> </w:t>
      </w:r>
      <w:r w:rsidRPr="00405D12">
        <w:t>University:</w:t>
      </w:r>
    </w:p>
    <w:p w14:paraId="47E5520B" w14:textId="25DA80E6" w:rsidR="00405D12" w:rsidRDefault="00405D12" w:rsidP="00405D12">
      <w:pPr>
        <w:pStyle w:val="ListBulleted"/>
        <w:numPr>
          <w:ilvl w:val="0"/>
          <w:numId w:val="0"/>
        </w:numPr>
        <w:ind w:left="360"/>
      </w:pPr>
      <w:r w:rsidRPr="00405D12">
        <w:t xml:space="preserve">Students should be taught by </w:t>
      </w:r>
      <w:r w:rsidRPr="00405D12">
        <w:rPr>
          <w:i/>
          <w:iCs/>
        </w:rPr>
        <w:t>individuals who are expert practitioners at the forefront of their</w:t>
      </w:r>
      <w:r>
        <w:rPr>
          <w:i/>
          <w:iCs/>
        </w:rPr>
        <w:t xml:space="preserve"> </w:t>
      </w:r>
      <w:r w:rsidRPr="00405D12">
        <w:rPr>
          <w:i/>
          <w:iCs/>
        </w:rPr>
        <w:t>professions</w:t>
      </w:r>
      <w:r w:rsidRPr="00405D12">
        <w:t>, ensuring that students are exposed to not only the latest practices in the field, but</w:t>
      </w:r>
      <w:r>
        <w:rPr>
          <w:i/>
          <w:iCs/>
        </w:rPr>
        <w:t xml:space="preserve"> </w:t>
      </w:r>
      <w:r w:rsidRPr="00405D12">
        <w:t>the latest intellectual approaches as well.</w:t>
      </w:r>
    </w:p>
    <w:p w14:paraId="084FF92A" w14:textId="77777777" w:rsidR="00405D12" w:rsidRPr="00405D12" w:rsidRDefault="00405D12" w:rsidP="00405D12">
      <w:pPr>
        <w:pStyle w:val="ListBulleted"/>
        <w:numPr>
          <w:ilvl w:val="0"/>
          <w:numId w:val="0"/>
        </w:numPr>
        <w:rPr>
          <w:i/>
          <w:iCs/>
        </w:rPr>
      </w:pPr>
    </w:p>
    <w:p w14:paraId="335DE105" w14:textId="3D8074AE" w:rsidR="00405D12" w:rsidRPr="00405D12" w:rsidRDefault="00405D12" w:rsidP="00405D12">
      <w:pPr>
        <w:pStyle w:val="ListBulleted"/>
        <w:numPr>
          <w:ilvl w:val="0"/>
          <w:numId w:val="0"/>
        </w:numPr>
      </w:pPr>
      <w:r w:rsidRPr="00405D12">
        <w:t>Accordingly, with the recognition that fields evolve quickly, and with a goal of preparing our students</w:t>
      </w:r>
      <w:r>
        <w:t xml:space="preserve"> </w:t>
      </w:r>
      <w:r w:rsidRPr="00405D12">
        <w:t>to practice their chosen profession at a high level based on the education we provide, individuals</w:t>
      </w:r>
      <w:r>
        <w:t xml:space="preserve"> </w:t>
      </w:r>
      <w:r w:rsidRPr="00405D12">
        <w:t xml:space="preserve">recommended </w:t>
      </w:r>
      <w:proofErr w:type="gramStart"/>
      <w:r w:rsidRPr="00405D12">
        <w:t>to teach</w:t>
      </w:r>
      <w:proofErr w:type="gramEnd"/>
      <w:r w:rsidRPr="00405D12">
        <w:t xml:space="preserve"> 800-level professional education courses should be familiar with the </w:t>
      </w:r>
      <w:r w:rsidRPr="00405D12">
        <w:rPr>
          <w:i/>
          <w:iCs/>
        </w:rPr>
        <w:t>current</w:t>
      </w:r>
      <w:r>
        <w:t xml:space="preserve"> </w:t>
      </w:r>
      <w:r w:rsidRPr="00405D12">
        <w:t>state of practice in the field. We generally expect individuals recommended for approval to teach</w:t>
      </w:r>
      <w:r>
        <w:t xml:space="preserve"> </w:t>
      </w:r>
      <w:r w:rsidRPr="00405D12">
        <w:t>specific courses to have evidence of professional activity in the field at any time over the last 5 years.</w:t>
      </w:r>
    </w:p>
    <w:p w14:paraId="6C080412" w14:textId="77777777" w:rsidR="00405D12" w:rsidRDefault="00405D12" w:rsidP="00405D12">
      <w:pPr>
        <w:pStyle w:val="ListBulleted"/>
        <w:numPr>
          <w:ilvl w:val="0"/>
          <w:numId w:val="0"/>
        </w:numPr>
      </w:pPr>
    </w:p>
    <w:p w14:paraId="68372B7F" w14:textId="3682AFDC" w:rsidR="00405D12" w:rsidRPr="00405D12" w:rsidRDefault="00405D12" w:rsidP="00405D12">
      <w:pPr>
        <w:pStyle w:val="ListBulleted"/>
        <w:numPr>
          <w:ilvl w:val="0"/>
          <w:numId w:val="0"/>
        </w:numPr>
      </w:pPr>
      <w:r w:rsidRPr="00405D12">
        <w:t>In recognition of the short-term commitment typically represented by a request for approval to teach,</w:t>
      </w:r>
      <w:r>
        <w:t xml:space="preserve"> </w:t>
      </w:r>
      <w:r w:rsidRPr="00405D12">
        <w:t xml:space="preserve">the </w:t>
      </w:r>
      <w:r w:rsidR="006773F4">
        <w:t>college</w:t>
      </w:r>
      <w:r w:rsidRPr="00405D12">
        <w:t xml:space="preserve"> and Graduate School provides some additional flexibility in considering evidence of</w:t>
      </w:r>
      <w:r>
        <w:t xml:space="preserve"> </w:t>
      </w:r>
      <w:r w:rsidRPr="00405D12">
        <w:t>“</w:t>
      </w:r>
      <w:r w:rsidRPr="00405D12">
        <w:rPr>
          <w:i/>
          <w:iCs/>
        </w:rPr>
        <w:t>professional experience relevant to the professional degree program field</w:t>
      </w:r>
      <w:r>
        <w:rPr>
          <w:i/>
          <w:iCs/>
        </w:rPr>
        <w:t>.</w:t>
      </w:r>
      <w:r w:rsidRPr="00405D12">
        <w:t>”</w:t>
      </w:r>
      <w:r>
        <w:t xml:space="preserve"> </w:t>
      </w:r>
      <w:r w:rsidRPr="00405D12">
        <w:t>With the recognition that</w:t>
      </w:r>
      <w:r>
        <w:t xml:space="preserve"> </w:t>
      </w:r>
      <w:r w:rsidRPr="00405D12">
        <w:t>professional practice evolves quickly, we generally expect one or more indicators of professional</w:t>
      </w:r>
      <w:r>
        <w:t xml:space="preserve"> </w:t>
      </w:r>
      <w:r w:rsidRPr="00405D12">
        <w:t>experience to be within the last 3-5 years; individual graduate programs may have higher standards.</w:t>
      </w:r>
    </w:p>
    <w:p w14:paraId="78D4E302" w14:textId="77777777" w:rsidR="00405D12" w:rsidRDefault="00405D12" w:rsidP="00405D12">
      <w:pPr>
        <w:pStyle w:val="ListBulleted"/>
        <w:numPr>
          <w:ilvl w:val="0"/>
          <w:numId w:val="0"/>
        </w:numPr>
      </w:pPr>
    </w:p>
    <w:p w14:paraId="56872E1C" w14:textId="4D3E937C" w:rsidR="00405D12" w:rsidRPr="00405D12" w:rsidRDefault="00405D12" w:rsidP="00405D12">
      <w:pPr>
        <w:pStyle w:val="ListBulleted"/>
        <w:numPr>
          <w:ilvl w:val="0"/>
          <w:numId w:val="0"/>
        </w:numPr>
        <w:rPr>
          <w:i/>
          <w:iCs/>
        </w:rPr>
      </w:pPr>
      <w:r w:rsidRPr="00405D12">
        <w:t xml:space="preserve">Illustrative examples of professional experience follow. NOTE: </w:t>
      </w:r>
      <w:r w:rsidRPr="00405D12">
        <w:rPr>
          <w:i/>
          <w:iCs/>
        </w:rPr>
        <w:t>The examples presented below are NOT</w:t>
      </w:r>
      <w:r>
        <w:rPr>
          <w:i/>
          <w:iCs/>
        </w:rPr>
        <w:t xml:space="preserve"> </w:t>
      </w:r>
      <w:r w:rsidRPr="00405D12">
        <w:rPr>
          <w:i/>
          <w:iCs/>
        </w:rPr>
        <w:t>intended to be exhaustive.</w:t>
      </w:r>
    </w:p>
    <w:p w14:paraId="1B00C4DC" w14:textId="2628D08B" w:rsidR="00405D12" w:rsidRPr="00405D12" w:rsidRDefault="00405D12" w:rsidP="00405D12">
      <w:pPr>
        <w:pStyle w:val="ListBulleted"/>
        <w:ind w:firstLine="0"/>
      </w:pPr>
      <w:r w:rsidRPr="00405D12">
        <w:t>Employment</w:t>
      </w:r>
    </w:p>
    <w:p w14:paraId="078CF9DA" w14:textId="3AF69B3F" w:rsidR="00405D12" w:rsidRPr="00405D12" w:rsidRDefault="00405D12" w:rsidP="00405D12">
      <w:pPr>
        <w:pStyle w:val="ListBulleted"/>
        <w:ind w:firstLine="0"/>
      </w:pPr>
      <w:r w:rsidRPr="00405D12">
        <w:t>Licensure or Certification</w:t>
      </w:r>
    </w:p>
    <w:p w14:paraId="4659D013" w14:textId="41665097" w:rsidR="00405D12" w:rsidRPr="00405D12" w:rsidRDefault="00405D12" w:rsidP="00405D12">
      <w:pPr>
        <w:pStyle w:val="ListBulleted"/>
        <w:ind w:firstLine="0"/>
      </w:pPr>
      <w:r w:rsidRPr="00405D12">
        <w:t>Formal consulting activities</w:t>
      </w:r>
    </w:p>
    <w:p w14:paraId="7E90455C" w14:textId="4B247C03" w:rsidR="00405D12" w:rsidRPr="00405D12" w:rsidRDefault="00405D12" w:rsidP="00405D12">
      <w:pPr>
        <w:pStyle w:val="ListBulleted"/>
        <w:ind w:firstLine="0"/>
      </w:pPr>
      <w:r w:rsidRPr="00405D12">
        <w:t>Presentations at professional workshops or meetings</w:t>
      </w:r>
    </w:p>
    <w:p w14:paraId="7FC1E02A" w14:textId="5B5BF5AF" w:rsidR="00405D12" w:rsidRPr="00405D12" w:rsidRDefault="00405D12" w:rsidP="00405D12">
      <w:pPr>
        <w:pStyle w:val="ListBulleted"/>
        <w:ind w:firstLine="0"/>
      </w:pPr>
      <w:r w:rsidRPr="00405D12">
        <w:t>Serving on professional advisory committees</w:t>
      </w:r>
    </w:p>
    <w:p w14:paraId="4BC1B44D" w14:textId="30CD25D1" w:rsidR="00405D12" w:rsidRPr="00405D12" w:rsidRDefault="00405D12" w:rsidP="00405D12">
      <w:pPr>
        <w:pStyle w:val="ListBulleted"/>
        <w:ind w:firstLine="0"/>
      </w:pPr>
      <w:r w:rsidRPr="00405D12">
        <w:t>Participation in professional and industry networks</w:t>
      </w:r>
    </w:p>
    <w:p w14:paraId="612ED05A" w14:textId="6773EE76" w:rsidR="00405D12" w:rsidRDefault="00405D12" w:rsidP="00405D12">
      <w:pPr>
        <w:pStyle w:val="ListBulleted"/>
        <w:ind w:firstLine="0"/>
      </w:pPr>
      <w:r w:rsidRPr="00405D12">
        <w:t>Demonstration of mentoring and professional development of others</w:t>
      </w:r>
    </w:p>
    <w:p w14:paraId="13A6ADD8" w14:textId="77777777" w:rsidR="001C4C49" w:rsidRPr="00405D12" w:rsidRDefault="001C4C49" w:rsidP="001C4C49">
      <w:pPr>
        <w:pStyle w:val="ListBulleted"/>
        <w:numPr>
          <w:ilvl w:val="0"/>
          <w:numId w:val="0"/>
        </w:numPr>
        <w:ind w:left="360"/>
      </w:pPr>
    </w:p>
    <w:p w14:paraId="5143273D" w14:textId="4CEB9FAF" w:rsidR="00405D12" w:rsidRDefault="00405D12" w:rsidP="00405D12">
      <w:pPr>
        <w:pStyle w:val="ListBulleted"/>
        <w:numPr>
          <w:ilvl w:val="0"/>
          <w:numId w:val="0"/>
        </w:numPr>
      </w:pPr>
      <w:r w:rsidRPr="00405D12">
        <w:lastRenderedPageBreak/>
        <w:t>An expectation of professional degree programs is that they incorporate new practices derived from</w:t>
      </w:r>
      <w:r>
        <w:t xml:space="preserve"> </w:t>
      </w:r>
      <w:r w:rsidRPr="00405D12">
        <w:t>new discoveries in their field of study; thus, individuals with ongoing scholarly work (as outlined above)</w:t>
      </w:r>
      <w:r>
        <w:t xml:space="preserve"> </w:t>
      </w:r>
      <w:r w:rsidRPr="00405D12">
        <w:t>in the field can also be appropriately approved to teach 800-level courses.</w:t>
      </w:r>
    </w:p>
    <w:p w14:paraId="5EDA80F5" w14:textId="77777777" w:rsidR="00F33F55" w:rsidRDefault="00F33F55" w:rsidP="00405D12">
      <w:pPr>
        <w:pStyle w:val="ListBulleted"/>
        <w:numPr>
          <w:ilvl w:val="0"/>
          <w:numId w:val="0"/>
        </w:numPr>
      </w:pPr>
    </w:p>
    <w:p w14:paraId="268527A1" w14:textId="77777777" w:rsidR="00F33F55" w:rsidRDefault="00F33F55" w:rsidP="00405D12">
      <w:pPr>
        <w:pStyle w:val="ListBulleted"/>
        <w:numPr>
          <w:ilvl w:val="0"/>
          <w:numId w:val="0"/>
        </w:numPr>
      </w:pPr>
    </w:p>
    <w:p w14:paraId="1480184D" w14:textId="77777777" w:rsidR="00F33F55" w:rsidRDefault="00F33F55" w:rsidP="00405D12">
      <w:pPr>
        <w:pStyle w:val="ListBulleted"/>
        <w:numPr>
          <w:ilvl w:val="0"/>
          <w:numId w:val="0"/>
        </w:numPr>
      </w:pPr>
    </w:p>
    <w:p w14:paraId="20A0B34B" w14:textId="77777777" w:rsidR="00F33F55" w:rsidRDefault="00F33F55" w:rsidP="00405D12">
      <w:pPr>
        <w:pStyle w:val="ListBulleted"/>
        <w:numPr>
          <w:ilvl w:val="0"/>
          <w:numId w:val="0"/>
        </w:numPr>
      </w:pPr>
    </w:p>
    <w:p w14:paraId="5246A96D" w14:textId="77777777" w:rsidR="00F33F55" w:rsidRDefault="00F33F55" w:rsidP="00405D12">
      <w:pPr>
        <w:pStyle w:val="ListBulleted"/>
        <w:numPr>
          <w:ilvl w:val="0"/>
          <w:numId w:val="0"/>
        </w:numPr>
      </w:pPr>
    </w:p>
    <w:p w14:paraId="26FC86D3" w14:textId="74B409B6" w:rsidR="00F33F55" w:rsidRDefault="00F33F55" w:rsidP="00405D12">
      <w:pPr>
        <w:pStyle w:val="ListBulleted"/>
        <w:numPr>
          <w:ilvl w:val="0"/>
          <w:numId w:val="0"/>
        </w:numPr>
      </w:pPr>
      <w:r>
        <w:t>A</w:t>
      </w:r>
      <w:r w:rsidRPr="0051187F">
        <w:t>pproved by the Graduate Councill’s Ad Hoc</w:t>
      </w:r>
      <w:r>
        <w:t xml:space="preserve"> </w:t>
      </w:r>
      <w:r w:rsidRPr="0051187F">
        <w:t xml:space="preserve">Committee on the Implementation of GFNEC Qualifications and the Dean of the Graduate School </w:t>
      </w:r>
      <w:r>
        <w:t xml:space="preserve">- </w:t>
      </w:r>
      <w:r w:rsidRPr="0051187F">
        <w:t>December 19, 2024</w:t>
      </w:r>
    </w:p>
    <w:sectPr w:rsidR="00F33F55" w:rsidSect="007C785E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8641" w14:textId="77777777" w:rsidR="00335D1B" w:rsidRDefault="00335D1B" w:rsidP="007C785E">
      <w:pPr>
        <w:spacing w:after="0"/>
      </w:pPr>
      <w:r>
        <w:separator/>
      </w:r>
    </w:p>
  </w:endnote>
  <w:endnote w:type="continuationSeparator" w:id="0">
    <w:p w14:paraId="506FBB0A" w14:textId="77777777" w:rsidR="00335D1B" w:rsidRDefault="00335D1B" w:rsidP="007C78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786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BA181" w14:textId="374554DA" w:rsidR="00FB7595" w:rsidRDefault="00FB75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F8E2B4" w14:textId="77777777" w:rsidR="00FB7595" w:rsidRDefault="00FB7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8967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7BDD6" w14:textId="0CEC0A2E" w:rsidR="00FB7595" w:rsidRDefault="00FB75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65444" w14:textId="77777777" w:rsidR="00FB7595" w:rsidRDefault="00FB7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AB9DA" w14:textId="77777777" w:rsidR="00335D1B" w:rsidRDefault="00335D1B" w:rsidP="007C785E">
      <w:pPr>
        <w:spacing w:after="0"/>
      </w:pPr>
      <w:r>
        <w:separator/>
      </w:r>
    </w:p>
  </w:footnote>
  <w:footnote w:type="continuationSeparator" w:id="0">
    <w:p w14:paraId="6B0B7CAE" w14:textId="77777777" w:rsidR="00335D1B" w:rsidRDefault="00335D1B" w:rsidP="007C78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3FA5" w14:textId="77777777" w:rsidR="007C785E" w:rsidRDefault="00955F95">
    <w:pPr>
      <w:pStyle w:val="Header"/>
    </w:pPr>
    <w:r w:rsidRPr="00576A48">
      <w:rPr>
        <w:noProof/>
      </w:rPr>
      <w:drawing>
        <wp:inline distT="0" distB="0" distL="0" distR="0" wp14:anchorId="34F8DAD4" wp14:editId="49EFB462">
          <wp:extent cx="2152650" cy="695325"/>
          <wp:effectExtent l="0" t="0" r="0" b="0"/>
          <wp:docPr id="1" name="Picture 1" descr="College of Earth and Mineral Sciences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ege of Earth and Mineral Sciences word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0" t="14661" r="6566" b="13995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B8A"/>
    <w:multiLevelType w:val="multilevel"/>
    <w:tmpl w:val="0409001D"/>
    <w:numStyleLink w:val="Multi-levellistsnumbered"/>
  </w:abstractNum>
  <w:abstractNum w:abstractNumId="1" w15:restartNumberingAfterBreak="0">
    <w:nsid w:val="0703211C"/>
    <w:multiLevelType w:val="hybridMultilevel"/>
    <w:tmpl w:val="DFDEDE76"/>
    <w:lvl w:ilvl="0" w:tplc="0066C706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B24D2"/>
    <w:multiLevelType w:val="multilevel"/>
    <w:tmpl w:val="8454EEEC"/>
    <w:numStyleLink w:val="multi-listnumerals"/>
  </w:abstractNum>
  <w:abstractNum w:abstractNumId="3" w15:restartNumberingAfterBreak="0">
    <w:nsid w:val="3D5E7463"/>
    <w:multiLevelType w:val="hybridMultilevel"/>
    <w:tmpl w:val="9A3E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262A8"/>
    <w:multiLevelType w:val="multilevel"/>
    <w:tmpl w:val="0409001D"/>
    <w:styleLink w:val="Multi-levellistsnumbered"/>
    <w:lvl w:ilvl="0">
      <w:start w:val="1"/>
      <w:numFmt w:val="decimal"/>
      <w:lvlText w:val="%1)"/>
      <w:lvlJc w:val="left"/>
      <w:pPr>
        <w:ind w:left="360" w:hanging="360"/>
      </w:pPr>
      <w:rPr>
        <w:rFonts w:ascii="Rockwell" w:hAnsi="Rockwell"/>
        <w:color w:val="auto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B648D6"/>
    <w:multiLevelType w:val="multilevel"/>
    <w:tmpl w:val="8454EEEC"/>
    <w:styleLink w:val="multi-listnumerals"/>
    <w:lvl w:ilvl="0">
      <w:start w:val="1"/>
      <w:numFmt w:val="decimal"/>
      <w:pStyle w:val="multi-levellistNumeric"/>
      <w:lvlText w:val="%1."/>
      <w:lvlJc w:val="left"/>
      <w:pPr>
        <w:ind w:left="360" w:hanging="360"/>
      </w:pPr>
      <w:rPr>
        <w:rFonts w:ascii="Rockwell" w:hAnsi="Rockwell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43B7375"/>
    <w:multiLevelType w:val="hybridMultilevel"/>
    <w:tmpl w:val="1A685480"/>
    <w:lvl w:ilvl="0" w:tplc="C3D8C008">
      <w:start w:val="1"/>
      <w:numFmt w:val="bullet"/>
      <w:pStyle w:val="ListBullete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052A"/>
    <w:multiLevelType w:val="multilevel"/>
    <w:tmpl w:val="8454EEEC"/>
    <w:numStyleLink w:val="multi-listnumerals"/>
  </w:abstractNum>
  <w:num w:numId="1" w16cid:durableId="850803997">
    <w:abstractNumId w:val="3"/>
  </w:num>
  <w:num w:numId="2" w16cid:durableId="1302341947">
    <w:abstractNumId w:val="1"/>
  </w:num>
  <w:num w:numId="3" w16cid:durableId="395980122">
    <w:abstractNumId w:val="5"/>
  </w:num>
  <w:num w:numId="4" w16cid:durableId="539165738">
    <w:abstractNumId w:val="7"/>
  </w:num>
  <w:num w:numId="5" w16cid:durableId="953170737">
    <w:abstractNumId w:val="2"/>
  </w:num>
  <w:num w:numId="6" w16cid:durableId="1055129881">
    <w:abstractNumId w:val="4"/>
  </w:num>
  <w:num w:numId="7" w16cid:durableId="888496554">
    <w:abstractNumId w:val="0"/>
  </w:num>
  <w:num w:numId="8" w16cid:durableId="949631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7F"/>
    <w:rsid w:val="0002373D"/>
    <w:rsid w:val="000C48F5"/>
    <w:rsid w:val="00145983"/>
    <w:rsid w:val="00145D75"/>
    <w:rsid w:val="00183D37"/>
    <w:rsid w:val="001C4C49"/>
    <w:rsid w:val="00267FA2"/>
    <w:rsid w:val="002713EB"/>
    <w:rsid w:val="002F6D64"/>
    <w:rsid w:val="00335D1B"/>
    <w:rsid w:val="003D33A0"/>
    <w:rsid w:val="003F4F2A"/>
    <w:rsid w:val="00405D12"/>
    <w:rsid w:val="0051187F"/>
    <w:rsid w:val="0061369A"/>
    <w:rsid w:val="00631689"/>
    <w:rsid w:val="006665F9"/>
    <w:rsid w:val="006773F4"/>
    <w:rsid w:val="006A08CE"/>
    <w:rsid w:val="006C1F02"/>
    <w:rsid w:val="006C547B"/>
    <w:rsid w:val="00733AF5"/>
    <w:rsid w:val="007C6D0A"/>
    <w:rsid w:val="007C785E"/>
    <w:rsid w:val="00822AD3"/>
    <w:rsid w:val="008449BB"/>
    <w:rsid w:val="00855336"/>
    <w:rsid w:val="008A3264"/>
    <w:rsid w:val="008C4C41"/>
    <w:rsid w:val="0094195E"/>
    <w:rsid w:val="00955F95"/>
    <w:rsid w:val="009A76D2"/>
    <w:rsid w:val="009C001A"/>
    <w:rsid w:val="00A11518"/>
    <w:rsid w:val="00A554B7"/>
    <w:rsid w:val="00AA0170"/>
    <w:rsid w:val="00AA13EC"/>
    <w:rsid w:val="00AB0DFA"/>
    <w:rsid w:val="00B16546"/>
    <w:rsid w:val="00C01E7E"/>
    <w:rsid w:val="00C65AD6"/>
    <w:rsid w:val="00C90606"/>
    <w:rsid w:val="00D44309"/>
    <w:rsid w:val="00D74A4D"/>
    <w:rsid w:val="00D969D6"/>
    <w:rsid w:val="00DF306A"/>
    <w:rsid w:val="00E90522"/>
    <w:rsid w:val="00EA3A1C"/>
    <w:rsid w:val="00EE2093"/>
    <w:rsid w:val="00EF3B62"/>
    <w:rsid w:val="00F33F55"/>
    <w:rsid w:val="00F44EC1"/>
    <w:rsid w:val="00FB1F4C"/>
    <w:rsid w:val="00FB7595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1095F"/>
  <w15:chartTrackingRefBased/>
  <w15:docId w15:val="{089A4DF2-32C2-4043-BD07-CC19F682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3D"/>
    <w:pPr>
      <w:spacing w:after="240"/>
    </w:pPr>
    <w:rPr>
      <w:rFonts w:ascii="Rockwell" w:hAnsi="Rockwell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73D"/>
    <w:pPr>
      <w:keepNext/>
      <w:keepLines/>
      <w:spacing w:before="240" w:after="120"/>
      <w:outlineLvl w:val="0"/>
    </w:pPr>
    <w:rPr>
      <w:rFonts w:ascii="Franklin Gothic Medium" w:eastAsia="Times New Roman" w:hAnsi="Franklin Gothic Medium"/>
      <w:caps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F2A"/>
    <w:pPr>
      <w:keepNext/>
      <w:keepLines/>
      <w:spacing w:before="240" w:after="120"/>
      <w:outlineLvl w:val="1"/>
    </w:pPr>
    <w:rPr>
      <w:rFonts w:ascii="Franklin Gothic Medium" w:eastAsia="Times New Roman" w:hAnsi="Franklin Gothic Medium"/>
      <w:color w:val="007CB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06A"/>
    <w:pPr>
      <w:keepNext/>
      <w:keepLines/>
      <w:spacing w:before="240" w:after="120"/>
      <w:outlineLvl w:val="2"/>
    </w:pPr>
    <w:rPr>
      <w:rFonts w:eastAsia="Times New Roman"/>
      <w:color w:val="007CB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3E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3E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3E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3E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3E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3E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2373D"/>
    <w:rPr>
      <w:rFonts w:ascii="Franklin Gothic Medium" w:eastAsia="Times New Roman" w:hAnsi="Franklin Gothic Medium"/>
      <w:caps/>
      <w:color w:val="0F4761"/>
      <w:kern w:val="2"/>
      <w:sz w:val="40"/>
      <w:szCs w:val="40"/>
    </w:rPr>
  </w:style>
  <w:style w:type="character" w:customStyle="1" w:styleId="Heading2Char">
    <w:name w:val="Heading 2 Char"/>
    <w:link w:val="Heading2"/>
    <w:uiPriority w:val="9"/>
    <w:rsid w:val="003F4F2A"/>
    <w:rPr>
      <w:rFonts w:ascii="Franklin Gothic Medium" w:eastAsia="Times New Roman" w:hAnsi="Franklin Gothic Medium"/>
      <w:color w:val="007CB1"/>
      <w:kern w:val="2"/>
      <w:sz w:val="32"/>
      <w:szCs w:val="32"/>
    </w:rPr>
  </w:style>
  <w:style w:type="character" w:customStyle="1" w:styleId="Heading3Char">
    <w:name w:val="Heading 3 Char"/>
    <w:link w:val="Heading3"/>
    <w:uiPriority w:val="9"/>
    <w:rsid w:val="00DF306A"/>
    <w:rPr>
      <w:rFonts w:ascii="Rockwell" w:eastAsia="Times New Roman" w:hAnsi="Rockwell"/>
      <w:color w:val="007CB1"/>
      <w:kern w:val="2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2713EB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2713EB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2713EB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2713EB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2713EB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2713EB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AA13EC"/>
    <w:pPr>
      <w:spacing w:before="240"/>
      <w:contextualSpacing/>
    </w:pPr>
    <w:rPr>
      <w:rFonts w:eastAsia="Times New Roman"/>
      <w:b/>
      <w:caps/>
      <w:color w:val="1E407C"/>
      <w:spacing w:val="-10"/>
      <w:kern w:val="28"/>
      <w:sz w:val="44"/>
      <w:szCs w:val="56"/>
    </w:rPr>
  </w:style>
  <w:style w:type="character" w:customStyle="1" w:styleId="TitleChar">
    <w:name w:val="Title Char"/>
    <w:link w:val="Title"/>
    <w:uiPriority w:val="10"/>
    <w:rsid w:val="00AA13EC"/>
    <w:rPr>
      <w:rFonts w:ascii="Rockwell" w:eastAsia="Times New Roman" w:hAnsi="Rockwell"/>
      <w:b/>
      <w:caps/>
      <w:color w:val="1E407C"/>
      <w:spacing w:val="-10"/>
      <w:kern w:val="28"/>
      <w:sz w:val="44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2713E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713EB"/>
    <w:rPr>
      <w:i/>
      <w:iCs/>
      <w:color w:val="404040"/>
    </w:rPr>
  </w:style>
  <w:style w:type="paragraph" w:styleId="ListParagraph">
    <w:name w:val="List Paragraph"/>
    <w:basedOn w:val="Normal"/>
    <w:link w:val="ListParagraphChar"/>
    <w:uiPriority w:val="34"/>
    <w:qFormat/>
    <w:rsid w:val="00EA3A1C"/>
    <w:pPr>
      <w:numPr>
        <w:numId w:val="2"/>
      </w:numPr>
      <w:ind w:left="360"/>
      <w:contextualSpacing/>
    </w:pPr>
  </w:style>
  <w:style w:type="character" w:styleId="IntenseEmphasis">
    <w:name w:val="Intense Emphasis"/>
    <w:uiPriority w:val="21"/>
    <w:qFormat/>
    <w:rsid w:val="002713EB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3E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2713EB"/>
    <w:rPr>
      <w:i/>
      <w:iCs/>
      <w:color w:val="0F4761"/>
    </w:rPr>
  </w:style>
  <w:style w:type="character" w:styleId="IntenseReference">
    <w:name w:val="Intense Reference"/>
    <w:uiPriority w:val="32"/>
    <w:rsid w:val="002713EB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8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785E"/>
  </w:style>
  <w:style w:type="paragraph" w:styleId="Footer">
    <w:name w:val="footer"/>
    <w:basedOn w:val="Normal"/>
    <w:link w:val="FooterChar"/>
    <w:uiPriority w:val="99"/>
    <w:unhideWhenUsed/>
    <w:rsid w:val="007C78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785E"/>
  </w:style>
  <w:style w:type="numbering" w:customStyle="1" w:styleId="multi-listnumerals">
    <w:name w:val="multi-list numerals"/>
    <w:uiPriority w:val="99"/>
    <w:rsid w:val="00A554B7"/>
    <w:pPr>
      <w:numPr>
        <w:numId w:val="3"/>
      </w:numPr>
    </w:pPr>
  </w:style>
  <w:style w:type="numbering" w:customStyle="1" w:styleId="Multi-levellistsnumbered">
    <w:name w:val="Multi-level lists numbered"/>
    <w:uiPriority w:val="99"/>
    <w:rsid w:val="00A554B7"/>
    <w:pPr>
      <w:numPr>
        <w:numId w:val="6"/>
      </w:numPr>
    </w:pPr>
  </w:style>
  <w:style w:type="paragraph" w:customStyle="1" w:styleId="multi-levellistNumeric">
    <w:name w:val="multi-level list Numeric"/>
    <w:basedOn w:val="Normal"/>
    <w:link w:val="multi-levellistNumericChar"/>
    <w:qFormat/>
    <w:rsid w:val="00D44309"/>
    <w:pPr>
      <w:numPr>
        <w:numId w:val="5"/>
      </w:numPr>
      <w:spacing w:after="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A3A1C"/>
    <w:rPr>
      <w:rFonts w:ascii="Rockwell" w:hAnsi="Rockwell"/>
      <w:kern w:val="2"/>
      <w:sz w:val="24"/>
      <w:szCs w:val="24"/>
    </w:rPr>
  </w:style>
  <w:style w:type="character" w:customStyle="1" w:styleId="multi-levellistNumericChar">
    <w:name w:val="multi-level list Numeric Char"/>
    <w:basedOn w:val="ListParagraphChar"/>
    <w:link w:val="multi-levellistNumeric"/>
    <w:rsid w:val="00D44309"/>
    <w:rPr>
      <w:rFonts w:ascii="Rockwell" w:hAnsi="Rockwell"/>
      <w:kern w:val="2"/>
      <w:sz w:val="24"/>
      <w:szCs w:val="24"/>
    </w:rPr>
  </w:style>
  <w:style w:type="paragraph" w:customStyle="1" w:styleId="ListBulleted">
    <w:name w:val="List Bulleted"/>
    <w:basedOn w:val="Normal"/>
    <w:link w:val="ListBulletedChar"/>
    <w:qFormat/>
    <w:rsid w:val="00D44309"/>
    <w:pPr>
      <w:numPr>
        <w:numId w:val="8"/>
      </w:numPr>
      <w:spacing w:after="60"/>
      <w:ind w:left="360"/>
    </w:pPr>
  </w:style>
  <w:style w:type="character" w:customStyle="1" w:styleId="ListBulletedChar">
    <w:name w:val="List Bulleted Char"/>
    <w:basedOn w:val="DefaultParagraphFont"/>
    <w:link w:val="ListBulleted"/>
    <w:rsid w:val="00D44309"/>
    <w:rPr>
      <w:rFonts w:ascii="Rockwell" w:hAnsi="Rockwell"/>
      <w:kern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4E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radschool.psu.edu/graduate-education-policies/gcac/gcac-100/gcac-101-graduate-faculty-membership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radschool.psu.edu/graduate-education-policies/gcac/gcac-100/gcac-101-graduate-faculty-membershi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school.psu.edu/graduate-education-policies/gcac/gcac-100/gcac-101-graduate-faculty-membership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gradschool.psu.edu/graduate-education-policies/gcac/gcac-100/gcac-101-graduate-faculty-membershi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C4AF76F33C4EB64A9780A2FDA46F" ma:contentTypeVersion="18" ma:contentTypeDescription="Create a new document." ma:contentTypeScope="" ma:versionID="bff74cdcd0ad926250062d6819776918">
  <xsd:schema xmlns:xsd="http://www.w3.org/2001/XMLSchema" xmlns:xs="http://www.w3.org/2001/XMLSchema" xmlns:p="http://schemas.microsoft.com/office/2006/metadata/properties" xmlns:ns2="f4314f42-8d66-45d7-a590-fb54340608bd" xmlns:ns3="b7f1cb50-daf7-48c9-be60-f9ff6b6633aa" targetNamespace="http://schemas.microsoft.com/office/2006/metadata/properties" ma:root="true" ma:fieldsID="c4dba29b13133ed6b67650226ee560e2" ns2:_="" ns3:_="">
    <xsd:import namespace="f4314f42-8d66-45d7-a590-fb54340608bd"/>
    <xsd:import namespace="b7f1cb50-daf7-48c9-be60-f9ff6b663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14f42-8d66-45d7-a590-fb5434060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cb50-daf7-48c9-be60-f9ff6b6633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3804ca-bd97-4dbc-a2c0-085ed508b07b}" ma:internalName="TaxCatchAll" ma:showField="CatchAllData" ma:web="b7f1cb50-daf7-48c9-be60-f9ff6b663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314f42-8d66-45d7-a590-fb54340608bd">
      <Terms xmlns="http://schemas.microsoft.com/office/infopath/2007/PartnerControls"/>
    </lcf76f155ced4ddcb4097134ff3c332f>
    <TaxCatchAll xmlns="b7f1cb50-daf7-48c9-be60-f9ff6b6633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85A57-1B0D-4C3B-AF1C-B533D9979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14f42-8d66-45d7-a590-fb54340608bd"/>
    <ds:schemaRef ds:uri="b7f1cb50-daf7-48c9-be60-f9ff6b663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1485F-16EC-4A03-B083-A7CE567AE7E4}">
  <ds:schemaRefs>
    <ds:schemaRef ds:uri="http://schemas.microsoft.com/office/2006/metadata/properties"/>
    <ds:schemaRef ds:uri="http://schemas.microsoft.com/office/infopath/2007/PartnerControls"/>
    <ds:schemaRef ds:uri="f4314f42-8d66-45d7-a590-fb54340608bd"/>
    <ds:schemaRef ds:uri="b7f1cb50-daf7-48c9-be60-f9ff6b6633aa"/>
  </ds:schemaRefs>
</ds:datastoreItem>
</file>

<file path=customXml/itemProps3.xml><?xml version="1.0" encoding="utf-8"?>
<ds:datastoreItem xmlns:ds="http://schemas.openxmlformats.org/officeDocument/2006/customXml" ds:itemID="{513D412D-6554-41A5-BA91-F75E34E9211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8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Links>
    <vt:vector size="6" baseType="variant"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https://policy.psu.edu/policies/ac14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Kiver, Nicola Marie</dc:creator>
  <cp:keywords/>
  <dc:description/>
  <cp:lastModifiedBy>Craig, Patricia Lee</cp:lastModifiedBy>
  <cp:revision>4</cp:revision>
  <dcterms:created xsi:type="dcterms:W3CDTF">2025-06-05T12:32:00Z</dcterms:created>
  <dcterms:modified xsi:type="dcterms:W3CDTF">2025-06-05T12:34:00Z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0x010100DF00C4AF76F33C4EB64A9780A2FDA46F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