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1AA25" w14:textId="77777777" w:rsidR="00512C3D" w:rsidRPr="00512C3D" w:rsidRDefault="00512C3D" w:rsidP="00682009">
      <w:pPr>
        <w:rPr>
          <w:rFonts w:eastAsia="Times New Roman"/>
          <w:b/>
          <w:bCs/>
          <w:caps/>
          <w:color w:val="1E407C"/>
          <w:spacing w:val="-10"/>
          <w:kern w:val="28"/>
          <w:sz w:val="28"/>
          <w:szCs w:val="28"/>
        </w:rPr>
      </w:pPr>
    </w:p>
    <w:p w14:paraId="2897C5BE" w14:textId="0413C2B7" w:rsidR="00682009" w:rsidRPr="00682009" w:rsidRDefault="00682009" w:rsidP="007D062B">
      <w:pPr>
        <w:pStyle w:val="Title"/>
      </w:pPr>
      <w:r w:rsidRPr="00682009">
        <w:t xml:space="preserve">Faculty Workload Policy </w:t>
      </w:r>
    </w:p>
    <w:p w14:paraId="486F0892" w14:textId="22BF64E1" w:rsidR="002D468D" w:rsidRDefault="003164B8" w:rsidP="002D468D">
      <w:pPr>
        <w:rPr>
          <w:rFonts w:eastAsia="Roboto"/>
          <w:color w:val="1D1B1B"/>
        </w:rPr>
      </w:pPr>
      <w:r>
        <w:rPr>
          <w:rFonts w:eastAsia="Roboto"/>
          <w:color w:val="1D1B1B"/>
        </w:rPr>
        <w:t>The College of Ear</w:t>
      </w:r>
      <w:r w:rsidR="002D468D" w:rsidRPr="006C13A3">
        <w:rPr>
          <w:rFonts w:eastAsia="Roboto"/>
          <w:color w:val="1D1B1B"/>
        </w:rPr>
        <w:t>th and Mineral Sciences is a vibrant, inclusive community of faculty, staff and students driven by curiosity to unlock how Earth's systems, energy and materials interact with one another and society. Our vision for the future is that EMS is where convergence happens; where students learn to plumb the depth of their chosen field while integrating their understanding across disciplinary boundaries to discover and innovate; where our faculty increasingly translate their scientific discoveries into practice, improving people's lives; where our staff, with a strong sense of belonging, support those efforts and find new solutions as challenges arise.</w:t>
      </w:r>
    </w:p>
    <w:p w14:paraId="700731B1" w14:textId="77777777" w:rsidR="002D468D" w:rsidRPr="007A0613" w:rsidRDefault="002D468D" w:rsidP="007A0613">
      <w:r w:rsidRPr="007A0613">
        <w:t xml:space="preserve">That vision can only be realized with a faculty that is strongly committed to inspirational teaching, cutting edge research, and engagement with colleagues, leading scientific institutions, government, and the public. Excellence in all three of those areas is expected from each tenure-line faculty member; non-tenure-line faculty typically have a mission-area of focus in which they are expected to excel. </w:t>
      </w:r>
    </w:p>
    <w:p w14:paraId="26021DED" w14:textId="77777777" w:rsidR="002D468D" w:rsidRDefault="002D468D" w:rsidP="007A0613">
      <w:r w:rsidRPr="007A0613">
        <w:t xml:space="preserve">The EMS faculty workload policy stated below provides a framework within which each faculty member may productively perform their duties while meeting the broad expectations of the College and University. </w:t>
      </w:r>
    </w:p>
    <w:p w14:paraId="3F6DD0A4" w14:textId="48BEE174" w:rsidR="00FE456D" w:rsidRPr="007A0613" w:rsidRDefault="00FE456D" w:rsidP="00FE456D">
      <w:pPr>
        <w:pStyle w:val="Heading1"/>
      </w:pPr>
      <w:r>
        <w:t>EXPECTATIONS</w:t>
      </w:r>
    </w:p>
    <w:p w14:paraId="304C9D45" w14:textId="77777777" w:rsidR="002D468D" w:rsidRPr="007A0613" w:rsidRDefault="002D468D" w:rsidP="007A0613">
      <w:r w:rsidRPr="007A0613">
        <w:t>Tenure-line EMS faculty members are expected</w:t>
      </w:r>
      <w:r w:rsidRPr="007A0613">
        <w:rPr>
          <w:spacing w:val="-2"/>
        </w:rPr>
        <w:t xml:space="preserve"> </w:t>
      </w:r>
      <w:r w:rsidRPr="007A0613">
        <w:t>to:</w:t>
      </w:r>
    </w:p>
    <w:p w14:paraId="063A35CA" w14:textId="54BE9943" w:rsidR="002D468D" w:rsidRPr="006A7431" w:rsidRDefault="002D468D" w:rsidP="002D468D">
      <w:pPr>
        <w:pStyle w:val="ListParagraph"/>
        <w:widowControl w:val="0"/>
        <w:numPr>
          <w:ilvl w:val="0"/>
          <w:numId w:val="11"/>
        </w:numPr>
        <w:tabs>
          <w:tab w:val="left" w:pos="839"/>
          <w:tab w:val="left" w:pos="840"/>
        </w:tabs>
        <w:autoSpaceDE w:val="0"/>
        <w:autoSpaceDN w:val="0"/>
        <w:spacing w:after="0"/>
        <w:contextualSpacing w:val="0"/>
      </w:pPr>
      <w:r w:rsidRPr="006A7431">
        <w:t>provide resident and/or online</w:t>
      </w:r>
      <w:r w:rsidRPr="006A7431">
        <w:rPr>
          <w:spacing w:val="-4"/>
        </w:rPr>
        <w:t xml:space="preserve"> </w:t>
      </w:r>
      <w:r w:rsidR="007D062B" w:rsidRPr="006A7431">
        <w:t>instruction.</w:t>
      </w:r>
    </w:p>
    <w:p w14:paraId="022E3212" w14:textId="41D7545D" w:rsidR="002D468D" w:rsidRPr="006A7431" w:rsidRDefault="002D468D" w:rsidP="002D468D">
      <w:pPr>
        <w:pStyle w:val="ListParagraph"/>
        <w:widowControl w:val="0"/>
        <w:numPr>
          <w:ilvl w:val="0"/>
          <w:numId w:val="11"/>
        </w:numPr>
        <w:tabs>
          <w:tab w:val="left" w:pos="839"/>
          <w:tab w:val="left" w:pos="840"/>
        </w:tabs>
        <w:autoSpaceDE w:val="0"/>
        <w:autoSpaceDN w:val="0"/>
        <w:spacing w:after="0"/>
        <w:contextualSpacing w:val="0"/>
      </w:pPr>
      <w:r w:rsidRPr="006A7431">
        <w:t>mentor undergraduate and graduate</w:t>
      </w:r>
      <w:r w:rsidRPr="006A7431">
        <w:rPr>
          <w:spacing w:val="-1"/>
        </w:rPr>
        <w:t xml:space="preserve"> </w:t>
      </w:r>
      <w:r w:rsidR="007D062B" w:rsidRPr="006A7431">
        <w:t>students.</w:t>
      </w:r>
    </w:p>
    <w:p w14:paraId="41438C0B" w14:textId="44074D97" w:rsidR="002D468D" w:rsidRPr="006A7431" w:rsidRDefault="002D468D" w:rsidP="002D468D">
      <w:pPr>
        <w:pStyle w:val="ListParagraph"/>
        <w:widowControl w:val="0"/>
        <w:numPr>
          <w:ilvl w:val="0"/>
          <w:numId w:val="11"/>
        </w:numPr>
        <w:tabs>
          <w:tab w:val="left" w:pos="839"/>
          <w:tab w:val="left" w:pos="840"/>
        </w:tabs>
        <w:autoSpaceDE w:val="0"/>
        <w:autoSpaceDN w:val="0"/>
        <w:spacing w:after="0"/>
        <w:ind w:right="206"/>
        <w:contextualSpacing w:val="0"/>
      </w:pPr>
      <w:r w:rsidRPr="006A7431">
        <w:t>maintain highly respected, (where applicable) externally funded research programs that involve students, create new knowledge, and apply that knowledge to the benefit of</w:t>
      </w:r>
      <w:r w:rsidRPr="006A7431">
        <w:rPr>
          <w:spacing w:val="-2"/>
        </w:rPr>
        <w:t xml:space="preserve"> </w:t>
      </w:r>
      <w:r w:rsidR="007D062B" w:rsidRPr="006A7431">
        <w:t>society.</w:t>
      </w:r>
    </w:p>
    <w:p w14:paraId="576061FB" w14:textId="7D7031AD" w:rsidR="002D468D" w:rsidRPr="006A7431" w:rsidRDefault="002D468D" w:rsidP="002D468D">
      <w:pPr>
        <w:pStyle w:val="ListParagraph"/>
        <w:widowControl w:val="0"/>
        <w:numPr>
          <w:ilvl w:val="0"/>
          <w:numId w:val="11"/>
        </w:numPr>
        <w:tabs>
          <w:tab w:val="left" w:pos="839"/>
          <w:tab w:val="left" w:pos="840"/>
        </w:tabs>
        <w:autoSpaceDE w:val="0"/>
        <w:autoSpaceDN w:val="0"/>
        <w:spacing w:after="0"/>
        <w:contextualSpacing w:val="0"/>
      </w:pPr>
      <w:r w:rsidRPr="006A7431">
        <w:t>disseminate their research findings in top-tier peer-reviewed</w:t>
      </w:r>
      <w:r w:rsidRPr="006A7431">
        <w:rPr>
          <w:spacing w:val="-11"/>
        </w:rPr>
        <w:t xml:space="preserve"> </w:t>
      </w:r>
      <w:r w:rsidR="007D062B" w:rsidRPr="006A7431">
        <w:t>publications.</w:t>
      </w:r>
    </w:p>
    <w:p w14:paraId="279BBED0" w14:textId="77777777" w:rsidR="002D468D" w:rsidRPr="006A7431" w:rsidRDefault="002D468D" w:rsidP="002D468D">
      <w:pPr>
        <w:pStyle w:val="ListParagraph"/>
        <w:widowControl w:val="0"/>
        <w:numPr>
          <w:ilvl w:val="0"/>
          <w:numId w:val="11"/>
        </w:numPr>
        <w:tabs>
          <w:tab w:val="left" w:pos="839"/>
          <w:tab w:val="left" w:pos="840"/>
        </w:tabs>
        <w:autoSpaceDE w:val="0"/>
        <w:autoSpaceDN w:val="0"/>
        <w:spacing w:after="0"/>
        <w:ind w:right="227"/>
        <w:contextualSpacing w:val="0"/>
      </w:pPr>
      <w:r w:rsidRPr="006A7431">
        <w:t xml:space="preserve">contribute significantly to service activities </w:t>
      </w:r>
      <w:r>
        <w:t>both within and outside of Penn State</w:t>
      </w:r>
      <w:r w:rsidRPr="006A7431">
        <w:t>.</w:t>
      </w:r>
    </w:p>
    <w:p w14:paraId="1CF4093B" w14:textId="77777777" w:rsidR="002D468D" w:rsidRPr="006A7431" w:rsidRDefault="002D468D" w:rsidP="002D468D">
      <w:pPr>
        <w:pStyle w:val="BodyText"/>
        <w:rPr>
          <w:sz w:val="22"/>
          <w:szCs w:val="22"/>
        </w:rPr>
      </w:pPr>
    </w:p>
    <w:p w14:paraId="5912E3D7" w14:textId="77777777" w:rsidR="002D468D" w:rsidRPr="00B605E8" w:rsidRDefault="002D468D" w:rsidP="00B605E8">
      <w:r w:rsidRPr="00B605E8">
        <w:t>Full-time, non-tenure-line faculty members are typically assigned duties predominantly in one of the three areas of teaching, research and service. As such, the balance of their workloads is expected to be heavier in the primary focal area than that for tenure-line faculty members.</w:t>
      </w:r>
    </w:p>
    <w:p w14:paraId="44BB8CEA" w14:textId="77777777" w:rsidR="002D468D" w:rsidRPr="00B605E8" w:rsidRDefault="002D468D" w:rsidP="00B605E8"/>
    <w:p w14:paraId="6A19D6BB" w14:textId="77777777" w:rsidR="002D468D" w:rsidRDefault="002D468D" w:rsidP="00B605E8">
      <w:r w:rsidRPr="00B605E8">
        <w:lastRenderedPageBreak/>
        <w:t>For both tenure-line and non-tenure line faculty members, this policy provides the flexibility necessary to accommodate the broad range of personal strengths among faculty members.</w:t>
      </w:r>
    </w:p>
    <w:p w14:paraId="0EB24AD8" w14:textId="66865F9C" w:rsidR="00FE456D" w:rsidRPr="00B605E8" w:rsidRDefault="00FE456D" w:rsidP="00F82E98">
      <w:pPr>
        <w:pStyle w:val="Heading1"/>
      </w:pPr>
      <w:r>
        <w:t>GOALS</w:t>
      </w:r>
    </w:p>
    <w:p w14:paraId="17169313" w14:textId="77777777" w:rsidR="002D468D" w:rsidRPr="00B605E8" w:rsidRDefault="002D468D" w:rsidP="00B605E8">
      <w:r w:rsidRPr="00B605E8">
        <w:t>The goals of the EMS faculty (tenure-line and non-tenure-line) workload policy are to:</w:t>
      </w:r>
    </w:p>
    <w:p w14:paraId="3B362EF5" w14:textId="7A8AD177" w:rsidR="002D468D" w:rsidRPr="006A7431" w:rsidRDefault="002D468D" w:rsidP="002D468D">
      <w:pPr>
        <w:pStyle w:val="ListParagraph"/>
        <w:widowControl w:val="0"/>
        <w:numPr>
          <w:ilvl w:val="0"/>
          <w:numId w:val="10"/>
        </w:numPr>
        <w:tabs>
          <w:tab w:val="left" w:pos="840"/>
        </w:tabs>
        <w:autoSpaceDE w:val="0"/>
        <w:autoSpaceDN w:val="0"/>
        <w:spacing w:after="0"/>
        <w:ind w:right="444"/>
        <w:contextualSpacing w:val="0"/>
      </w:pPr>
      <w:r w:rsidRPr="006A7431">
        <w:t xml:space="preserve">Provide our students with the best instruction </w:t>
      </w:r>
      <w:proofErr w:type="gramStart"/>
      <w:r w:rsidRPr="006A7431">
        <w:t>in</w:t>
      </w:r>
      <w:proofErr w:type="gramEnd"/>
      <w:r w:rsidRPr="006A7431">
        <w:t xml:space="preserve"> </w:t>
      </w:r>
      <w:proofErr w:type="gramStart"/>
      <w:r w:rsidRPr="006A7431">
        <w:t>the earth</w:t>
      </w:r>
      <w:proofErr w:type="gramEnd"/>
      <w:r w:rsidRPr="006A7431">
        <w:t>, energy, and material sciences available</w:t>
      </w:r>
      <w:r w:rsidRPr="006A7431">
        <w:rPr>
          <w:spacing w:val="-4"/>
        </w:rPr>
        <w:t xml:space="preserve"> </w:t>
      </w:r>
      <w:r w:rsidR="00FE456D" w:rsidRPr="006A7431">
        <w:t>anywhere.</w:t>
      </w:r>
    </w:p>
    <w:p w14:paraId="28B439F5" w14:textId="77777777" w:rsidR="002D468D" w:rsidRPr="006A7431" w:rsidRDefault="002D468D" w:rsidP="002D468D">
      <w:pPr>
        <w:pStyle w:val="BodyText"/>
        <w:rPr>
          <w:sz w:val="22"/>
          <w:szCs w:val="22"/>
        </w:rPr>
      </w:pPr>
    </w:p>
    <w:p w14:paraId="25203463" w14:textId="2BB2A8A4" w:rsidR="002D468D" w:rsidRPr="006A7431" w:rsidRDefault="002D468D" w:rsidP="002D468D">
      <w:pPr>
        <w:pStyle w:val="ListParagraph"/>
        <w:widowControl w:val="0"/>
        <w:numPr>
          <w:ilvl w:val="0"/>
          <w:numId w:val="10"/>
        </w:numPr>
        <w:tabs>
          <w:tab w:val="left" w:pos="840"/>
        </w:tabs>
        <w:autoSpaceDE w:val="0"/>
        <w:autoSpaceDN w:val="0"/>
        <w:spacing w:after="0"/>
        <w:ind w:right="403"/>
        <w:contextualSpacing w:val="0"/>
      </w:pPr>
      <w:r w:rsidRPr="006A7431">
        <w:t xml:space="preserve">Facilitate the productivity of </w:t>
      </w:r>
      <w:r>
        <w:t xml:space="preserve">tenure-line </w:t>
      </w:r>
      <w:r w:rsidRPr="006A7431">
        <w:t xml:space="preserve">faculty members with highly active research programs and/or exceptional service responsibilities by adjusting their teaching and/or service </w:t>
      </w:r>
      <w:r w:rsidR="00FE456D" w:rsidRPr="006A7431">
        <w:t>loads.</w:t>
      </w:r>
    </w:p>
    <w:p w14:paraId="5F867F46" w14:textId="77777777" w:rsidR="002D468D" w:rsidRPr="006A7431" w:rsidRDefault="002D468D" w:rsidP="002D468D">
      <w:pPr>
        <w:pStyle w:val="BodyText"/>
        <w:rPr>
          <w:sz w:val="22"/>
          <w:szCs w:val="22"/>
        </w:rPr>
      </w:pPr>
    </w:p>
    <w:p w14:paraId="45CD7AF1" w14:textId="113A522E" w:rsidR="002D468D" w:rsidRPr="006A7431" w:rsidRDefault="002D468D" w:rsidP="002D468D">
      <w:pPr>
        <w:pStyle w:val="ListParagraph"/>
        <w:widowControl w:val="0"/>
        <w:numPr>
          <w:ilvl w:val="0"/>
          <w:numId w:val="10"/>
        </w:numPr>
        <w:tabs>
          <w:tab w:val="left" w:pos="840"/>
        </w:tabs>
        <w:autoSpaceDE w:val="0"/>
        <w:autoSpaceDN w:val="0"/>
        <w:spacing w:after="0"/>
        <w:ind w:right="178"/>
        <w:contextualSpacing w:val="0"/>
      </w:pPr>
      <w:r w:rsidRPr="006A7431">
        <w:t xml:space="preserve">Rebalance the workload of </w:t>
      </w:r>
      <w:r>
        <w:t xml:space="preserve">tenure-line </w:t>
      </w:r>
      <w:r w:rsidRPr="006A7431">
        <w:t>faculty members whose research productivity significantly falls short of normal expectations by increasing teaching and service duties with the goal of increasing</w:t>
      </w:r>
      <w:r w:rsidRPr="006A7431">
        <w:rPr>
          <w:spacing w:val="-2"/>
        </w:rPr>
        <w:t xml:space="preserve"> </w:t>
      </w:r>
      <w:r>
        <w:rPr>
          <w:spacing w:val="-2"/>
        </w:rPr>
        <w:t xml:space="preserve">overall </w:t>
      </w:r>
      <w:r w:rsidR="00FE456D" w:rsidRPr="006A7431">
        <w:t>productivity.</w:t>
      </w:r>
    </w:p>
    <w:p w14:paraId="76F25992" w14:textId="77777777" w:rsidR="002D468D" w:rsidRPr="006A7431" w:rsidRDefault="002D468D" w:rsidP="002D468D">
      <w:pPr>
        <w:pStyle w:val="BodyText"/>
        <w:rPr>
          <w:sz w:val="22"/>
          <w:szCs w:val="22"/>
        </w:rPr>
      </w:pPr>
    </w:p>
    <w:p w14:paraId="4A633711" w14:textId="1BE02B14" w:rsidR="002D468D" w:rsidRPr="006A7431" w:rsidRDefault="002D468D" w:rsidP="002D468D">
      <w:pPr>
        <w:pStyle w:val="ListParagraph"/>
        <w:widowControl w:val="0"/>
        <w:numPr>
          <w:ilvl w:val="0"/>
          <w:numId w:val="10"/>
        </w:numPr>
        <w:tabs>
          <w:tab w:val="left" w:pos="840"/>
        </w:tabs>
        <w:autoSpaceDE w:val="0"/>
        <w:autoSpaceDN w:val="0"/>
        <w:spacing w:after="0"/>
        <w:contextualSpacing w:val="0"/>
      </w:pPr>
      <w:r w:rsidRPr="006A7431">
        <w:t xml:space="preserve">Personalize the workload of each </w:t>
      </w:r>
      <w:r>
        <w:t xml:space="preserve">tenure-line </w:t>
      </w:r>
      <w:r w:rsidRPr="006A7431">
        <w:t>faculty member in accordance with items</w:t>
      </w:r>
      <w:r w:rsidRPr="006A7431">
        <w:rPr>
          <w:spacing w:val="-14"/>
        </w:rPr>
        <w:t xml:space="preserve"> </w:t>
      </w:r>
      <w:r w:rsidR="00FE456D" w:rsidRPr="006A7431">
        <w:t>1-3.</w:t>
      </w:r>
    </w:p>
    <w:p w14:paraId="5B4458EC" w14:textId="77777777" w:rsidR="002D468D" w:rsidRPr="006A7431" w:rsidRDefault="002D468D" w:rsidP="002D468D">
      <w:pPr>
        <w:pStyle w:val="BodyText"/>
        <w:rPr>
          <w:sz w:val="22"/>
          <w:szCs w:val="22"/>
        </w:rPr>
      </w:pPr>
    </w:p>
    <w:p w14:paraId="4C686AC7" w14:textId="0303B4C2" w:rsidR="002D468D" w:rsidRPr="00F82E98" w:rsidRDefault="002D468D" w:rsidP="002D468D">
      <w:pPr>
        <w:pStyle w:val="ListParagraph"/>
        <w:widowControl w:val="0"/>
        <w:numPr>
          <w:ilvl w:val="0"/>
          <w:numId w:val="10"/>
        </w:numPr>
        <w:tabs>
          <w:tab w:val="left" w:pos="840"/>
        </w:tabs>
        <w:autoSpaceDE w:val="0"/>
        <w:autoSpaceDN w:val="0"/>
        <w:spacing w:after="0"/>
        <w:contextualSpacing w:val="0"/>
      </w:pPr>
      <w:r w:rsidRPr="006A7431">
        <w:t>Reduce or eliminate unnecessary under-enrollment in EMS</w:t>
      </w:r>
      <w:r w:rsidRPr="006A7431">
        <w:rPr>
          <w:spacing w:val="-5"/>
        </w:rPr>
        <w:t xml:space="preserve"> </w:t>
      </w:r>
      <w:r w:rsidRPr="006A7431">
        <w:t>courses</w:t>
      </w:r>
      <w:r>
        <w:t xml:space="preserve">, as defined in the Academic Administrative Policies and Procedure Manual, C3: Minimum Course Enrollment Threshold Expectations: </w:t>
      </w:r>
      <w:hyperlink r:id="rId10" w:history="1">
        <w:r w:rsidRPr="00894CB2">
          <w:rPr>
            <w:rStyle w:val="Hyperlink"/>
          </w:rPr>
          <w:t>https://undergrad.psu.edu/aappm/C-3-minimum-course-enrollment-threshold-expectations.html</w:t>
        </w:r>
      </w:hyperlink>
      <w:r>
        <w:t xml:space="preserve"> </w:t>
      </w:r>
    </w:p>
    <w:p w14:paraId="5CD5431C" w14:textId="77777777" w:rsidR="002D468D" w:rsidRPr="006A7431" w:rsidRDefault="002D468D" w:rsidP="00F82E98">
      <w:pPr>
        <w:pStyle w:val="Heading1"/>
      </w:pPr>
      <w:r w:rsidRPr="006A7431">
        <w:t xml:space="preserve">The elements of the </w:t>
      </w:r>
      <w:r>
        <w:t>p</w:t>
      </w:r>
      <w:r w:rsidRPr="006A7431">
        <w:t>olicy are:</w:t>
      </w:r>
    </w:p>
    <w:p w14:paraId="4EA6B0F4" w14:textId="77777777" w:rsidR="002D468D" w:rsidRDefault="002D468D" w:rsidP="002D468D">
      <w:pPr>
        <w:pStyle w:val="ListParagraph"/>
        <w:widowControl w:val="0"/>
        <w:numPr>
          <w:ilvl w:val="0"/>
          <w:numId w:val="9"/>
        </w:numPr>
        <w:tabs>
          <w:tab w:val="left" w:pos="840"/>
        </w:tabs>
        <w:autoSpaceDE w:val="0"/>
        <w:autoSpaceDN w:val="0"/>
        <w:spacing w:after="0"/>
        <w:ind w:right="719"/>
        <w:contextualSpacing w:val="0"/>
      </w:pPr>
      <w:r w:rsidRPr="00173EE0">
        <w:t xml:space="preserve">All </w:t>
      </w:r>
      <w:r>
        <w:t>tenure-line</w:t>
      </w:r>
      <w:r w:rsidRPr="00173EE0">
        <w:t xml:space="preserve"> </w:t>
      </w:r>
      <w:r>
        <w:t xml:space="preserve">and non-tenure-line teaching </w:t>
      </w:r>
      <w:r w:rsidRPr="00173EE0">
        <w:t>faculty members are expected to teach in the resident and/or online instruction program of the</w:t>
      </w:r>
      <w:r w:rsidRPr="00173EE0">
        <w:rPr>
          <w:spacing w:val="-2"/>
        </w:rPr>
        <w:t xml:space="preserve"> </w:t>
      </w:r>
      <w:r w:rsidRPr="00173EE0">
        <w:t>College. Additionally, tenure-line faculty involvement in first-year seminars is important to the development of a strong undergraduate cohort and is highly encouraged.</w:t>
      </w:r>
    </w:p>
    <w:p w14:paraId="6BDF6B1D" w14:textId="77777777" w:rsidR="002D468D" w:rsidRPr="00173EE0" w:rsidRDefault="002D468D" w:rsidP="00B605E8">
      <w:pPr>
        <w:pStyle w:val="ListParagraph"/>
        <w:numPr>
          <w:ilvl w:val="0"/>
          <w:numId w:val="0"/>
        </w:numPr>
        <w:tabs>
          <w:tab w:val="left" w:pos="840"/>
        </w:tabs>
        <w:ind w:left="360" w:right="719"/>
      </w:pPr>
    </w:p>
    <w:p w14:paraId="751D15A4" w14:textId="77777777" w:rsidR="002D468D" w:rsidRPr="006A7431" w:rsidRDefault="002D468D" w:rsidP="002D468D">
      <w:pPr>
        <w:pStyle w:val="ListParagraph"/>
        <w:widowControl w:val="0"/>
        <w:numPr>
          <w:ilvl w:val="0"/>
          <w:numId w:val="9"/>
        </w:numPr>
        <w:autoSpaceDE w:val="0"/>
        <w:autoSpaceDN w:val="0"/>
        <w:spacing w:after="0"/>
        <w:ind w:left="810" w:right="100"/>
        <w:contextualSpacing w:val="0"/>
      </w:pPr>
      <w:r w:rsidRPr="006A7431">
        <w:t>A normal teaching load</w:t>
      </w:r>
      <w:r>
        <w:t xml:space="preserve"> for a 36-week appointment</w:t>
      </w:r>
      <w:r w:rsidRPr="006A7431">
        <w:t xml:space="preserve"> is four courses </w:t>
      </w:r>
      <w:r>
        <w:t xml:space="preserve">(12 credits) </w:t>
      </w:r>
      <w:r w:rsidRPr="006A7431">
        <w:t>per calendar year</w:t>
      </w:r>
      <w:r>
        <w:t xml:space="preserve"> for tenure-line faculty and six courses (18 credits) for non-tenure-line teaching faculty</w:t>
      </w:r>
      <w:r w:rsidRPr="006A7431">
        <w:t>. The department head may increase the teaching load of a faculty member as indicated by departmental needs and/or need to increase that faculty member’s overall</w:t>
      </w:r>
      <w:r w:rsidRPr="006A7431">
        <w:rPr>
          <w:spacing w:val="-9"/>
        </w:rPr>
        <w:t xml:space="preserve"> </w:t>
      </w:r>
      <w:r w:rsidRPr="006A7431">
        <w:t xml:space="preserve">productivity. </w:t>
      </w:r>
    </w:p>
    <w:p w14:paraId="4AFA373C" w14:textId="77777777" w:rsidR="00B605E8" w:rsidRPr="00DE47EF" w:rsidRDefault="00B605E8" w:rsidP="00B605E8">
      <w:pPr>
        <w:pStyle w:val="ListParagraph"/>
        <w:numPr>
          <w:ilvl w:val="0"/>
          <w:numId w:val="0"/>
        </w:numPr>
        <w:ind w:left="840"/>
      </w:pPr>
    </w:p>
    <w:p w14:paraId="3478B798" w14:textId="458928A6" w:rsidR="00F82E98" w:rsidRDefault="002D468D" w:rsidP="00F82E98">
      <w:pPr>
        <w:pStyle w:val="ListParagraph"/>
        <w:widowControl w:val="0"/>
        <w:numPr>
          <w:ilvl w:val="0"/>
          <w:numId w:val="9"/>
        </w:numPr>
        <w:autoSpaceDE w:val="0"/>
        <w:autoSpaceDN w:val="0"/>
        <w:spacing w:after="0"/>
        <w:ind w:left="810" w:right="547"/>
        <w:contextualSpacing w:val="0"/>
      </w:pPr>
      <w:r w:rsidRPr="006A7431">
        <w:t>Teaching expectations will be designed to meet departmental curricular needs according to degree requirements, departmental educational philosophy, professional expectations and values, and departmental</w:t>
      </w:r>
      <w:r w:rsidRPr="006A7431">
        <w:rPr>
          <w:spacing w:val="-10"/>
        </w:rPr>
        <w:t xml:space="preserve"> </w:t>
      </w:r>
      <w:r w:rsidRPr="006A7431">
        <w:lastRenderedPageBreak/>
        <w:t>priorities.</w:t>
      </w:r>
    </w:p>
    <w:p w14:paraId="59F20362" w14:textId="77777777" w:rsidR="00F82E98" w:rsidRPr="006A7431" w:rsidRDefault="00F82E98" w:rsidP="00F82E98">
      <w:pPr>
        <w:pStyle w:val="ListParagraph"/>
        <w:widowControl w:val="0"/>
        <w:numPr>
          <w:ilvl w:val="0"/>
          <w:numId w:val="0"/>
        </w:numPr>
        <w:autoSpaceDE w:val="0"/>
        <w:autoSpaceDN w:val="0"/>
        <w:spacing w:after="0"/>
        <w:ind w:left="810" w:right="547"/>
        <w:contextualSpacing w:val="0"/>
      </w:pPr>
    </w:p>
    <w:p w14:paraId="619F2AA3" w14:textId="6676000D" w:rsidR="002D468D" w:rsidRDefault="002D468D" w:rsidP="002D468D">
      <w:pPr>
        <w:pStyle w:val="ListParagraph"/>
        <w:widowControl w:val="0"/>
        <w:numPr>
          <w:ilvl w:val="0"/>
          <w:numId w:val="9"/>
        </w:numPr>
        <w:autoSpaceDE w:val="0"/>
        <w:autoSpaceDN w:val="0"/>
        <w:spacing w:after="0"/>
        <w:ind w:left="810" w:right="248"/>
        <w:contextualSpacing w:val="0"/>
      </w:pPr>
      <w:r w:rsidRPr="00DE47EF">
        <w:t>Teaching expectations may be met, according to departmental guidelines, by</w:t>
      </w:r>
      <w:r w:rsidRPr="00DE47EF">
        <w:rPr>
          <w:spacing w:val="-15"/>
        </w:rPr>
        <w:t xml:space="preserve"> </w:t>
      </w:r>
      <w:r w:rsidRPr="00DE47EF">
        <w:t xml:space="preserve">any combination of resident instruction or </w:t>
      </w:r>
      <w:r>
        <w:t>online</w:t>
      </w:r>
      <w:r w:rsidRPr="00DE47EF">
        <w:t xml:space="preserve"> teaching.</w:t>
      </w:r>
    </w:p>
    <w:p w14:paraId="362DB6EB" w14:textId="77777777" w:rsidR="00B605E8" w:rsidRPr="00DE47EF" w:rsidRDefault="00B605E8" w:rsidP="00B605E8">
      <w:pPr>
        <w:widowControl w:val="0"/>
        <w:autoSpaceDE w:val="0"/>
        <w:autoSpaceDN w:val="0"/>
        <w:spacing w:after="0"/>
        <w:ind w:right="248"/>
      </w:pPr>
    </w:p>
    <w:p w14:paraId="3233AAFF" w14:textId="5644C8BD" w:rsidR="002D468D" w:rsidRPr="00DE47EF" w:rsidRDefault="002D468D" w:rsidP="002D468D">
      <w:pPr>
        <w:pStyle w:val="ListParagraph"/>
        <w:widowControl w:val="0"/>
        <w:numPr>
          <w:ilvl w:val="0"/>
          <w:numId w:val="9"/>
        </w:numPr>
        <w:autoSpaceDE w:val="0"/>
        <w:autoSpaceDN w:val="0"/>
        <w:spacing w:after="0"/>
        <w:ind w:left="810" w:right="112"/>
        <w:contextualSpacing w:val="0"/>
      </w:pPr>
      <w:r w:rsidRPr="00DE47EF">
        <w:t xml:space="preserve">Research productivity, for </w:t>
      </w:r>
      <w:r w:rsidR="00810697">
        <w:t xml:space="preserve">the </w:t>
      </w:r>
      <w:r w:rsidRPr="00DE47EF">
        <w:t xml:space="preserve">purposes of assigning each </w:t>
      </w:r>
      <w:r>
        <w:t xml:space="preserve">tenure-line </w:t>
      </w:r>
      <w:r w:rsidRPr="00DE47EF">
        <w:t xml:space="preserve">faculty member’s workload, will be determined by peer-reviewed publication rate and quality, quantity of sponsored research funding (where applicable), and training of researchers, including </w:t>
      </w:r>
      <w:r w:rsidR="005C6290" w:rsidRPr="00DE47EF">
        <w:t>postdoctoral</w:t>
      </w:r>
      <w:r w:rsidRPr="00DE47EF">
        <w:t xml:space="preserve"> scholars</w:t>
      </w:r>
      <w:r w:rsidR="00810697">
        <w:t xml:space="preserve"> </w:t>
      </w:r>
      <w:r w:rsidRPr="00DE47EF">
        <w:t>—</w:t>
      </w:r>
      <w:r w:rsidR="00810697">
        <w:t xml:space="preserve"> </w:t>
      </w:r>
      <w:r w:rsidRPr="00DE47EF">
        <w:t>all in accordance with normal standards of the University and broadly consistent with peer institutions in each of the College’s</w:t>
      </w:r>
      <w:r w:rsidRPr="00DE47EF">
        <w:rPr>
          <w:spacing w:val="-1"/>
        </w:rPr>
        <w:t xml:space="preserve"> </w:t>
      </w:r>
      <w:r w:rsidRPr="00DE47EF">
        <w:t xml:space="preserve">disciplines. Additionally, some departments may outline in their guidelines where supervision of graduate students registered for credit demonstrates research activity, which may result in a teaching load reduction (typically no more than </w:t>
      </w:r>
      <w:r>
        <w:t>one</w:t>
      </w:r>
      <w:r w:rsidRPr="00DE47EF">
        <w:t xml:space="preserve"> course).</w:t>
      </w:r>
    </w:p>
    <w:p w14:paraId="0333D52D" w14:textId="77777777" w:rsidR="002D468D" w:rsidRPr="00DE47EF" w:rsidRDefault="002D468D" w:rsidP="002D468D">
      <w:pPr>
        <w:pStyle w:val="BodyText"/>
        <w:ind w:left="810"/>
        <w:rPr>
          <w:sz w:val="22"/>
          <w:szCs w:val="22"/>
        </w:rPr>
      </w:pPr>
    </w:p>
    <w:p w14:paraId="7685DF55" w14:textId="77777777" w:rsidR="002D468D" w:rsidRPr="00DE47EF" w:rsidRDefault="002D468D" w:rsidP="002D468D">
      <w:pPr>
        <w:pStyle w:val="ListParagraph"/>
        <w:widowControl w:val="0"/>
        <w:numPr>
          <w:ilvl w:val="0"/>
          <w:numId w:val="9"/>
        </w:numPr>
        <w:autoSpaceDE w:val="0"/>
        <w:autoSpaceDN w:val="0"/>
        <w:spacing w:after="0"/>
        <w:ind w:left="810" w:right="744"/>
        <w:contextualSpacing w:val="0"/>
      </w:pPr>
      <w:r w:rsidRPr="00DE47EF">
        <w:t xml:space="preserve">Department heads are responsible for evaluating research productivity and allocating individual </w:t>
      </w:r>
      <w:r>
        <w:t xml:space="preserve">tenure-line </w:t>
      </w:r>
      <w:r w:rsidRPr="00DE47EF">
        <w:t>faculty workload assignments each year, and teaching assignments will be made in a timely manner thereby allowing for adequate course preparation.</w:t>
      </w:r>
    </w:p>
    <w:p w14:paraId="08D5C4BC" w14:textId="77777777" w:rsidR="002D468D" w:rsidRPr="00DE47EF" w:rsidRDefault="002D468D" w:rsidP="002D468D">
      <w:pPr>
        <w:pStyle w:val="BodyText"/>
        <w:ind w:left="810"/>
        <w:rPr>
          <w:sz w:val="22"/>
          <w:szCs w:val="22"/>
        </w:rPr>
      </w:pPr>
    </w:p>
    <w:p w14:paraId="0BE9064A" w14:textId="01254C7F" w:rsidR="002D468D" w:rsidRPr="00DE47EF" w:rsidRDefault="002D468D" w:rsidP="002D468D">
      <w:pPr>
        <w:pStyle w:val="ListParagraph"/>
        <w:widowControl w:val="0"/>
        <w:numPr>
          <w:ilvl w:val="0"/>
          <w:numId w:val="9"/>
        </w:numPr>
        <w:autoSpaceDE w:val="0"/>
        <w:autoSpaceDN w:val="0"/>
        <w:spacing w:after="0"/>
        <w:ind w:left="810" w:right="472"/>
        <w:contextualSpacing w:val="0"/>
        <w:jc w:val="both"/>
      </w:pPr>
      <w:r w:rsidRPr="00DE47EF">
        <w:t xml:space="preserve">Teaching buyout policies </w:t>
      </w:r>
      <w:r>
        <w:t xml:space="preserve">for tenure-line and non-tenure-line faculty </w:t>
      </w:r>
      <w:r w:rsidRPr="00DE47EF">
        <w:t xml:space="preserve">are subject to proper departmental compensation for </w:t>
      </w:r>
      <w:r w:rsidR="003B515F" w:rsidRPr="00DE47EF">
        <w:t>the time</w:t>
      </w:r>
      <w:r w:rsidRPr="00DE47EF">
        <w:t xml:space="preserve"> being released to perform research and/or service duties. Buyout policies will be set in each of the departments, consistent with departmental needs, and subject to approval by the</w:t>
      </w:r>
      <w:r w:rsidR="00B605E8">
        <w:t xml:space="preserve"> </w:t>
      </w:r>
      <w:r>
        <w:t>D</w:t>
      </w:r>
      <w:r w:rsidRPr="00DE47EF">
        <w:t>ean. Normally, faculty are not allowed to buy out of all teaching responsibilities with research funding. The minimum teaching load is one course per year.</w:t>
      </w:r>
    </w:p>
    <w:p w14:paraId="05A2FBE2" w14:textId="77777777" w:rsidR="002D468D" w:rsidRPr="00DE47EF" w:rsidRDefault="002D468D" w:rsidP="002D468D">
      <w:pPr>
        <w:pStyle w:val="BodyText"/>
        <w:ind w:left="810"/>
        <w:rPr>
          <w:sz w:val="22"/>
          <w:szCs w:val="22"/>
        </w:rPr>
      </w:pPr>
    </w:p>
    <w:p w14:paraId="58A5CD04" w14:textId="1A45C9BD" w:rsidR="002D468D" w:rsidRPr="006A7431" w:rsidRDefault="002D468D" w:rsidP="002D468D">
      <w:pPr>
        <w:pStyle w:val="ListParagraph"/>
        <w:widowControl w:val="0"/>
        <w:numPr>
          <w:ilvl w:val="0"/>
          <w:numId w:val="9"/>
        </w:numPr>
        <w:autoSpaceDE w:val="0"/>
        <w:autoSpaceDN w:val="0"/>
        <w:spacing w:after="0"/>
        <w:ind w:left="810" w:right="222"/>
        <w:contextualSpacing w:val="0"/>
      </w:pPr>
      <w:r w:rsidRPr="00DE47EF">
        <w:t>Department heads may grant teaching release time to individual faculty</w:t>
      </w:r>
      <w:r w:rsidRPr="00DE47EF">
        <w:rPr>
          <w:spacing w:val="-17"/>
        </w:rPr>
        <w:t xml:space="preserve"> </w:t>
      </w:r>
      <w:r w:rsidRPr="00DE47EF">
        <w:t>members to allow those faculty members to engage in high visibility instructional, service or research activities; deliver service courses with high enrollment; or prepare for new teaching</w:t>
      </w:r>
      <w:r w:rsidRPr="00DE47EF">
        <w:rPr>
          <w:spacing w:val="-1"/>
        </w:rPr>
        <w:t xml:space="preserve"> </w:t>
      </w:r>
      <w:r w:rsidRPr="00DE47EF">
        <w:t xml:space="preserve">assignments. Note: </w:t>
      </w:r>
      <w:r>
        <w:t>d</w:t>
      </w:r>
      <w:r w:rsidRPr="00DE47EF">
        <w:t xml:space="preserve">epartment </w:t>
      </w:r>
      <w:r>
        <w:t>h</w:t>
      </w:r>
      <w:r w:rsidRPr="00DE47EF">
        <w:t>eads cannot grant teaching</w:t>
      </w:r>
      <w:r>
        <w:t xml:space="preserve"> release below the one course per year minimum for tenure-line faculty members without approval from the Dean.</w:t>
      </w:r>
    </w:p>
    <w:p w14:paraId="6BB6E9F8" w14:textId="77777777" w:rsidR="002D468D" w:rsidRPr="006A7431" w:rsidRDefault="002D468D" w:rsidP="002D468D">
      <w:pPr>
        <w:pStyle w:val="BodyText"/>
        <w:ind w:left="810"/>
        <w:rPr>
          <w:sz w:val="22"/>
          <w:szCs w:val="22"/>
        </w:rPr>
      </w:pPr>
    </w:p>
    <w:p w14:paraId="26DF0438" w14:textId="4D3BBD97" w:rsidR="00B605E8" w:rsidRDefault="002D468D" w:rsidP="00B605E8">
      <w:pPr>
        <w:pStyle w:val="ListParagraph"/>
        <w:widowControl w:val="0"/>
        <w:numPr>
          <w:ilvl w:val="0"/>
          <w:numId w:val="9"/>
        </w:numPr>
        <w:autoSpaceDE w:val="0"/>
        <w:autoSpaceDN w:val="0"/>
        <w:spacing w:after="0"/>
        <w:ind w:left="810" w:right="169"/>
        <w:contextualSpacing w:val="0"/>
      </w:pPr>
      <w:r w:rsidRPr="006A7431">
        <w:t xml:space="preserve">Under-enrolled and/or independent individual study courses do not count toward the teaching load unless the </w:t>
      </w:r>
      <w:r>
        <w:t>faculty member</w:t>
      </w:r>
      <w:r w:rsidRPr="006A7431">
        <w:t xml:space="preserve"> is required by the department head to</w:t>
      </w:r>
      <w:r w:rsidRPr="006A7431">
        <w:rPr>
          <w:spacing w:val="-16"/>
        </w:rPr>
        <w:t xml:space="preserve"> </w:t>
      </w:r>
      <w:r w:rsidRPr="006A7431">
        <w:t>teach the course for some other reason</w:t>
      </w:r>
      <w:r>
        <w:t>.</w:t>
      </w:r>
    </w:p>
    <w:p w14:paraId="3735D2A6" w14:textId="77777777" w:rsidR="00B605E8" w:rsidRDefault="00B605E8" w:rsidP="00B605E8">
      <w:pPr>
        <w:pStyle w:val="ListParagraph"/>
        <w:widowControl w:val="0"/>
        <w:numPr>
          <w:ilvl w:val="0"/>
          <w:numId w:val="0"/>
        </w:numPr>
        <w:autoSpaceDE w:val="0"/>
        <w:autoSpaceDN w:val="0"/>
        <w:spacing w:after="0"/>
        <w:ind w:left="810" w:right="169"/>
        <w:contextualSpacing w:val="0"/>
      </w:pPr>
    </w:p>
    <w:p w14:paraId="38F09AA7" w14:textId="77777777" w:rsidR="002D468D" w:rsidRPr="006A7431" w:rsidRDefault="002D468D" w:rsidP="002D468D">
      <w:pPr>
        <w:pStyle w:val="ListParagraph"/>
        <w:widowControl w:val="0"/>
        <w:numPr>
          <w:ilvl w:val="0"/>
          <w:numId w:val="9"/>
        </w:numPr>
        <w:autoSpaceDE w:val="0"/>
        <w:autoSpaceDN w:val="0"/>
        <w:spacing w:after="0"/>
        <w:ind w:left="810" w:right="339"/>
        <w:contextualSpacing w:val="0"/>
      </w:pPr>
      <w:r w:rsidRPr="006A7431">
        <w:t xml:space="preserve">While these guidelines apply generally, it is important for the policy to focus on individual faculty members and departmental outcomes in order to define individual roles in the departments </w:t>
      </w:r>
      <w:r>
        <w:t>that</w:t>
      </w:r>
      <w:r w:rsidRPr="006A7431">
        <w:t xml:space="preserve"> leverage faculty members’ strengths and maximize the department's productivity and</w:t>
      </w:r>
      <w:r w:rsidRPr="006A7431">
        <w:rPr>
          <w:spacing w:val="-7"/>
        </w:rPr>
        <w:t xml:space="preserve"> </w:t>
      </w:r>
      <w:r w:rsidRPr="006A7431">
        <w:t>impact.</w:t>
      </w:r>
    </w:p>
    <w:p w14:paraId="0169BA62" w14:textId="77777777" w:rsidR="002D468D" w:rsidRDefault="002D468D" w:rsidP="002D468D">
      <w:pPr>
        <w:ind w:right="338"/>
      </w:pPr>
    </w:p>
    <w:p w14:paraId="5020008A" w14:textId="77777777" w:rsidR="002D468D" w:rsidRDefault="002D468D" w:rsidP="002D468D">
      <w:pPr>
        <w:ind w:right="338"/>
      </w:pPr>
    </w:p>
    <w:p w14:paraId="76C19E26" w14:textId="77777777" w:rsidR="002D468D" w:rsidRDefault="002D468D" w:rsidP="00F82E98">
      <w:pPr>
        <w:pStyle w:val="Heading1"/>
      </w:pPr>
      <w:r>
        <w:t>Resources:</w:t>
      </w:r>
    </w:p>
    <w:p w14:paraId="4814604D" w14:textId="77777777" w:rsidR="002D468D" w:rsidRPr="0006592F" w:rsidRDefault="002D468D" w:rsidP="002D468D">
      <w:pPr>
        <w:ind w:right="338"/>
      </w:pPr>
      <w:r w:rsidRPr="0006592F">
        <w:t xml:space="preserve">Best Practices and Expectations for Online Teaching </w:t>
      </w:r>
      <w:hyperlink r:id="rId11" w:history="1">
        <w:r w:rsidRPr="0006592F">
          <w:rPr>
            <w:rStyle w:val="Hyperlink"/>
          </w:rPr>
          <w:t>https://facdev.e-education.psu.edu/teach/bestpractices</w:t>
        </w:r>
      </w:hyperlink>
    </w:p>
    <w:p w14:paraId="50BF50B3" w14:textId="77777777" w:rsidR="002D468D" w:rsidRPr="0006592F" w:rsidRDefault="002D468D" w:rsidP="002D468D">
      <w:pPr>
        <w:ind w:right="338"/>
      </w:pPr>
      <w:r w:rsidRPr="0006592F">
        <w:t xml:space="preserve">Academic Administrative Policies and Procedures Manual </w:t>
      </w:r>
      <w:hyperlink r:id="rId12" w:history="1">
        <w:r w:rsidRPr="0006592F">
          <w:rPr>
            <w:rStyle w:val="Hyperlink"/>
          </w:rPr>
          <w:t>https://undergrad.psu.edu/aappm/</w:t>
        </w:r>
      </w:hyperlink>
    </w:p>
    <w:p w14:paraId="5687BDFD" w14:textId="77777777" w:rsidR="002D468D" w:rsidRDefault="002D468D" w:rsidP="002D468D">
      <w:pPr>
        <w:ind w:right="338"/>
      </w:pPr>
    </w:p>
    <w:p w14:paraId="30908062" w14:textId="77777777" w:rsidR="002D468D" w:rsidRDefault="002D468D" w:rsidP="002D468D">
      <w:pPr>
        <w:ind w:right="338"/>
      </w:pPr>
    </w:p>
    <w:p w14:paraId="3299F18A" w14:textId="77777777" w:rsidR="002D468D" w:rsidRDefault="002D468D" w:rsidP="002D468D">
      <w:pPr>
        <w:ind w:right="338"/>
      </w:pPr>
      <w:r>
        <w:t>Approved by EMS Executive Council: September 5, 2023</w:t>
      </w:r>
    </w:p>
    <w:p w14:paraId="56D40EFA" w14:textId="77777777" w:rsidR="002D468D" w:rsidRPr="00107591" w:rsidRDefault="002D468D" w:rsidP="002D468D"/>
    <w:p w14:paraId="07D0D09A" w14:textId="77777777" w:rsidR="002713EB" w:rsidRDefault="002713EB"/>
    <w:sectPr w:rsidR="002713EB" w:rsidSect="007C785E">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661B7" w14:textId="77777777" w:rsidR="00FA7590" w:rsidRDefault="00FA7590" w:rsidP="007C785E">
      <w:pPr>
        <w:spacing w:after="0"/>
      </w:pPr>
      <w:r>
        <w:separator/>
      </w:r>
    </w:p>
  </w:endnote>
  <w:endnote w:type="continuationSeparator" w:id="0">
    <w:p w14:paraId="2F34459A" w14:textId="77777777" w:rsidR="00FA7590" w:rsidRDefault="00FA7590" w:rsidP="007C7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395642"/>
      <w:docPartObj>
        <w:docPartGallery w:val="Page Numbers (Bottom of Page)"/>
        <w:docPartUnique/>
      </w:docPartObj>
    </w:sdtPr>
    <w:sdtEndPr>
      <w:rPr>
        <w:noProof/>
      </w:rPr>
    </w:sdtEndPr>
    <w:sdtContent>
      <w:p w14:paraId="0BE91A68" w14:textId="345E6474" w:rsidR="00B605E8" w:rsidRDefault="00B605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A75A20" w14:textId="77777777" w:rsidR="00B605E8" w:rsidRDefault="00B60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365273"/>
      <w:docPartObj>
        <w:docPartGallery w:val="Page Numbers (Bottom of Page)"/>
        <w:docPartUnique/>
      </w:docPartObj>
    </w:sdtPr>
    <w:sdtEndPr>
      <w:rPr>
        <w:noProof/>
      </w:rPr>
    </w:sdtEndPr>
    <w:sdtContent>
      <w:p w14:paraId="0BCDDB29" w14:textId="60A1A9E7" w:rsidR="00B605E8" w:rsidRDefault="00B605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D4E34" w14:textId="77777777" w:rsidR="00B605E8" w:rsidRDefault="00B60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8A521" w14:textId="77777777" w:rsidR="00FA7590" w:rsidRDefault="00FA7590" w:rsidP="007C785E">
      <w:pPr>
        <w:spacing w:after="0"/>
      </w:pPr>
      <w:r>
        <w:separator/>
      </w:r>
    </w:p>
  </w:footnote>
  <w:footnote w:type="continuationSeparator" w:id="0">
    <w:p w14:paraId="5572ABDA" w14:textId="77777777" w:rsidR="00FA7590" w:rsidRDefault="00FA7590" w:rsidP="007C7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F14C" w14:textId="77777777" w:rsidR="007C785E" w:rsidRDefault="00955F95">
    <w:pPr>
      <w:pStyle w:val="Header"/>
    </w:pPr>
    <w:r w:rsidRPr="00576A48">
      <w:rPr>
        <w:noProof/>
      </w:rPr>
      <w:drawing>
        <wp:inline distT="0" distB="0" distL="0" distR="0" wp14:anchorId="0483067A" wp14:editId="319C1E8F">
          <wp:extent cx="2152650" cy="695325"/>
          <wp:effectExtent l="0" t="0" r="0" b="0"/>
          <wp:docPr id="1"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arth and Mineral Sciences wordmark"/>
                  <pic:cNvPicPr>
                    <a:picLocks noChangeAspect="1" noChangeArrowheads="1"/>
                  </pic:cNvPicPr>
                </pic:nvPicPr>
                <pic:blipFill>
                  <a:blip r:embed="rId1">
                    <a:extLst>
                      <a:ext uri="{28A0092B-C50C-407E-A947-70E740481C1C}">
                        <a14:useLocalDpi xmlns:a14="http://schemas.microsoft.com/office/drawing/2010/main" val="0"/>
                      </a:ext>
                    </a:extLst>
                  </a:blip>
                  <a:srcRect l="5450" t="14661" r="6566" b="13995"/>
                  <a:stretch>
                    <a:fillRect/>
                  </a:stretch>
                </pic:blipFill>
                <pic:spPr bwMode="auto">
                  <a:xfrm>
                    <a:off x="0" y="0"/>
                    <a:ext cx="21526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B8A"/>
    <w:multiLevelType w:val="multilevel"/>
    <w:tmpl w:val="0409001D"/>
    <w:numStyleLink w:val="Multi-levellistsnumbered"/>
  </w:abstractNum>
  <w:abstractNum w:abstractNumId="1" w15:restartNumberingAfterBreak="0">
    <w:nsid w:val="065A67F7"/>
    <w:multiLevelType w:val="hybridMultilevel"/>
    <w:tmpl w:val="69287D90"/>
    <w:lvl w:ilvl="0" w:tplc="7A5CBE06">
      <w:start w:val="1"/>
      <w:numFmt w:val="decimal"/>
      <w:lvlText w:val="%1."/>
      <w:lvlJc w:val="left"/>
      <w:pPr>
        <w:ind w:left="840" w:hanging="360"/>
      </w:pPr>
      <w:rPr>
        <w:rFonts w:ascii="Times New Roman" w:eastAsia="Times New Roman" w:hAnsi="Times New Roman" w:cs="Times New Roman" w:hint="default"/>
        <w:spacing w:val="-3"/>
        <w:w w:val="99"/>
        <w:sz w:val="24"/>
        <w:szCs w:val="24"/>
      </w:rPr>
    </w:lvl>
    <w:lvl w:ilvl="1" w:tplc="84C02B4A">
      <w:numFmt w:val="bullet"/>
      <w:lvlText w:val="•"/>
      <w:lvlJc w:val="left"/>
      <w:pPr>
        <w:ind w:left="1642" w:hanging="360"/>
      </w:pPr>
      <w:rPr>
        <w:rFonts w:hint="default"/>
      </w:rPr>
    </w:lvl>
    <w:lvl w:ilvl="2" w:tplc="0EF4EC60">
      <w:numFmt w:val="bullet"/>
      <w:lvlText w:val="•"/>
      <w:lvlJc w:val="left"/>
      <w:pPr>
        <w:ind w:left="2444" w:hanging="360"/>
      </w:pPr>
      <w:rPr>
        <w:rFonts w:hint="default"/>
      </w:rPr>
    </w:lvl>
    <w:lvl w:ilvl="3" w:tplc="A7E81ACE">
      <w:numFmt w:val="bullet"/>
      <w:lvlText w:val="•"/>
      <w:lvlJc w:val="left"/>
      <w:pPr>
        <w:ind w:left="3246" w:hanging="360"/>
      </w:pPr>
      <w:rPr>
        <w:rFonts w:hint="default"/>
      </w:rPr>
    </w:lvl>
    <w:lvl w:ilvl="4" w:tplc="B950A33C">
      <w:numFmt w:val="bullet"/>
      <w:lvlText w:val="•"/>
      <w:lvlJc w:val="left"/>
      <w:pPr>
        <w:ind w:left="4048" w:hanging="360"/>
      </w:pPr>
      <w:rPr>
        <w:rFonts w:hint="default"/>
      </w:rPr>
    </w:lvl>
    <w:lvl w:ilvl="5" w:tplc="9FEC9D5E">
      <w:numFmt w:val="bullet"/>
      <w:lvlText w:val="•"/>
      <w:lvlJc w:val="left"/>
      <w:pPr>
        <w:ind w:left="4850" w:hanging="360"/>
      </w:pPr>
      <w:rPr>
        <w:rFonts w:hint="default"/>
      </w:rPr>
    </w:lvl>
    <w:lvl w:ilvl="6" w:tplc="A768C1FA">
      <w:numFmt w:val="bullet"/>
      <w:lvlText w:val="•"/>
      <w:lvlJc w:val="left"/>
      <w:pPr>
        <w:ind w:left="5652" w:hanging="360"/>
      </w:pPr>
      <w:rPr>
        <w:rFonts w:hint="default"/>
      </w:rPr>
    </w:lvl>
    <w:lvl w:ilvl="7" w:tplc="3B98BC00">
      <w:numFmt w:val="bullet"/>
      <w:lvlText w:val="•"/>
      <w:lvlJc w:val="left"/>
      <w:pPr>
        <w:ind w:left="6454" w:hanging="360"/>
      </w:pPr>
      <w:rPr>
        <w:rFonts w:hint="default"/>
      </w:rPr>
    </w:lvl>
    <w:lvl w:ilvl="8" w:tplc="F25EB5AE">
      <w:numFmt w:val="bullet"/>
      <w:lvlText w:val="•"/>
      <w:lvlJc w:val="left"/>
      <w:pPr>
        <w:ind w:left="7256" w:hanging="360"/>
      </w:pPr>
      <w:rPr>
        <w:rFonts w:hint="default"/>
      </w:rPr>
    </w:lvl>
  </w:abstractNum>
  <w:abstractNum w:abstractNumId="2" w15:restartNumberingAfterBreak="0">
    <w:nsid w:val="0703211C"/>
    <w:multiLevelType w:val="hybridMultilevel"/>
    <w:tmpl w:val="DFDEDE76"/>
    <w:lvl w:ilvl="0" w:tplc="0066C706">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CB24D2"/>
    <w:multiLevelType w:val="multilevel"/>
    <w:tmpl w:val="8454EEEC"/>
    <w:numStyleLink w:val="multi-listnumerals"/>
  </w:abstractNum>
  <w:abstractNum w:abstractNumId="4" w15:restartNumberingAfterBreak="0">
    <w:nsid w:val="248D7FDF"/>
    <w:multiLevelType w:val="hybridMultilevel"/>
    <w:tmpl w:val="E3A6D724"/>
    <w:lvl w:ilvl="0" w:tplc="434E89BC">
      <w:numFmt w:val="bullet"/>
      <w:lvlText w:val=""/>
      <w:lvlJc w:val="left"/>
      <w:pPr>
        <w:ind w:left="840" w:hanging="360"/>
      </w:pPr>
      <w:rPr>
        <w:rFonts w:ascii="Symbol" w:eastAsia="Symbol" w:hAnsi="Symbol" w:cs="Symbol" w:hint="default"/>
        <w:w w:val="100"/>
        <w:sz w:val="24"/>
        <w:szCs w:val="24"/>
      </w:rPr>
    </w:lvl>
    <w:lvl w:ilvl="1" w:tplc="9BCC8476">
      <w:numFmt w:val="bullet"/>
      <w:lvlText w:val="•"/>
      <w:lvlJc w:val="left"/>
      <w:pPr>
        <w:ind w:left="1642" w:hanging="360"/>
      </w:pPr>
      <w:rPr>
        <w:rFonts w:hint="default"/>
      </w:rPr>
    </w:lvl>
    <w:lvl w:ilvl="2" w:tplc="0CD47418">
      <w:numFmt w:val="bullet"/>
      <w:lvlText w:val="•"/>
      <w:lvlJc w:val="left"/>
      <w:pPr>
        <w:ind w:left="2444" w:hanging="360"/>
      </w:pPr>
      <w:rPr>
        <w:rFonts w:hint="default"/>
      </w:rPr>
    </w:lvl>
    <w:lvl w:ilvl="3" w:tplc="26EA4CAC">
      <w:numFmt w:val="bullet"/>
      <w:lvlText w:val="•"/>
      <w:lvlJc w:val="left"/>
      <w:pPr>
        <w:ind w:left="3246" w:hanging="360"/>
      </w:pPr>
      <w:rPr>
        <w:rFonts w:hint="default"/>
      </w:rPr>
    </w:lvl>
    <w:lvl w:ilvl="4" w:tplc="E938A0E4">
      <w:numFmt w:val="bullet"/>
      <w:lvlText w:val="•"/>
      <w:lvlJc w:val="left"/>
      <w:pPr>
        <w:ind w:left="4048" w:hanging="360"/>
      </w:pPr>
      <w:rPr>
        <w:rFonts w:hint="default"/>
      </w:rPr>
    </w:lvl>
    <w:lvl w:ilvl="5" w:tplc="BE265906">
      <w:numFmt w:val="bullet"/>
      <w:lvlText w:val="•"/>
      <w:lvlJc w:val="left"/>
      <w:pPr>
        <w:ind w:left="4850" w:hanging="360"/>
      </w:pPr>
      <w:rPr>
        <w:rFonts w:hint="default"/>
      </w:rPr>
    </w:lvl>
    <w:lvl w:ilvl="6" w:tplc="D54E89DE">
      <w:numFmt w:val="bullet"/>
      <w:lvlText w:val="•"/>
      <w:lvlJc w:val="left"/>
      <w:pPr>
        <w:ind w:left="5652" w:hanging="360"/>
      </w:pPr>
      <w:rPr>
        <w:rFonts w:hint="default"/>
      </w:rPr>
    </w:lvl>
    <w:lvl w:ilvl="7" w:tplc="88A827EC">
      <w:numFmt w:val="bullet"/>
      <w:lvlText w:val="•"/>
      <w:lvlJc w:val="left"/>
      <w:pPr>
        <w:ind w:left="6454" w:hanging="360"/>
      </w:pPr>
      <w:rPr>
        <w:rFonts w:hint="default"/>
      </w:rPr>
    </w:lvl>
    <w:lvl w:ilvl="8" w:tplc="0E68F902">
      <w:numFmt w:val="bullet"/>
      <w:lvlText w:val="•"/>
      <w:lvlJc w:val="left"/>
      <w:pPr>
        <w:ind w:left="7256" w:hanging="360"/>
      </w:pPr>
      <w:rPr>
        <w:rFonts w:hint="default"/>
      </w:rPr>
    </w:lvl>
  </w:abstractNum>
  <w:abstractNum w:abstractNumId="5"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262A8"/>
    <w:multiLevelType w:val="multilevel"/>
    <w:tmpl w:val="0409001D"/>
    <w:styleLink w:val="Multi-levellistsnumbered"/>
    <w:lvl w:ilvl="0">
      <w:start w:val="1"/>
      <w:numFmt w:val="decimal"/>
      <w:lvlText w:val="%1)"/>
      <w:lvlJc w:val="left"/>
      <w:pPr>
        <w:ind w:left="360" w:hanging="360"/>
      </w:pPr>
      <w:rPr>
        <w:rFonts w:ascii="Rockwell" w:hAnsi="Rockwell"/>
        <w:color w:val="auto"/>
        <w:sz w:val="24"/>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B648D6"/>
    <w:multiLevelType w:val="multilevel"/>
    <w:tmpl w:val="8454EEEC"/>
    <w:styleLink w:val="multi-listnumerals"/>
    <w:lvl w:ilvl="0">
      <w:start w:val="1"/>
      <w:numFmt w:val="decimal"/>
      <w:pStyle w:val="multi-levellistNumeric"/>
      <w:lvlText w:val="%1."/>
      <w:lvlJc w:val="left"/>
      <w:pPr>
        <w:ind w:left="360" w:hanging="360"/>
      </w:pPr>
      <w:rPr>
        <w:rFonts w:ascii="Rockwell" w:hAnsi="Rockwell"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43B7375"/>
    <w:multiLevelType w:val="hybridMultilevel"/>
    <w:tmpl w:val="1A685480"/>
    <w:lvl w:ilvl="0" w:tplc="C3D8C008">
      <w:start w:val="1"/>
      <w:numFmt w:val="bullet"/>
      <w:pStyle w:val="ListBulleted"/>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770A1"/>
    <w:multiLevelType w:val="hybridMultilevel"/>
    <w:tmpl w:val="2AFC5E90"/>
    <w:lvl w:ilvl="0" w:tplc="215C25DA">
      <w:start w:val="1"/>
      <w:numFmt w:val="decimal"/>
      <w:lvlText w:val="%1."/>
      <w:lvlJc w:val="left"/>
      <w:pPr>
        <w:ind w:left="840" w:hanging="360"/>
      </w:pPr>
      <w:rPr>
        <w:rFonts w:ascii="Times New Roman" w:eastAsia="Times New Roman" w:hAnsi="Times New Roman" w:cs="Times New Roman" w:hint="default"/>
        <w:spacing w:val="-2"/>
        <w:w w:val="99"/>
        <w:sz w:val="24"/>
        <w:szCs w:val="24"/>
      </w:rPr>
    </w:lvl>
    <w:lvl w:ilvl="1" w:tplc="74A0805C">
      <w:numFmt w:val="bullet"/>
      <w:lvlText w:val="•"/>
      <w:lvlJc w:val="left"/>
      <w:pPr>
        <w:ind w:left="1642" w:hanging="360"/>
      </w:pPr>
      <w:rPr>
        <w:rFonts w:hint="default"/>
      </w:rPr>
    </w:lvl>
    <w:lvl w:ilvl="2" w:tplc="F0688FA0">
      <w:numFmt w:val="bullet"/>
      <w:lvlText w:val="•"/>
      <w:lvlJc w:val="left"/>
      <w:pPr>
        <w:ind w:left="2444" w:hanging="360"/>
      </w:pPr>
      <w:rPr>
        <w:rFonts w:hint="default"/>
      </w:rPr>
    </w:lvl>
    <w:lvl w:ilvl="3" w:tplc="708C46B6">
      <w:numFmt w:val="bullet"/>
      <w:lvlText w:val="•"/>
      <w:lvlJc w:val="left"/>
      <w:pPr>
        <w:ind w:left="3246" w:hanging="360"/>
      </w:pPr>
      <w:rPr>
        <w:rFonts w:hint="default"/>
      </w:rPr>
    </w:lvl>
    <w:lvl w:ilvl="4" w:tplc="08C6EB96">
      <w:numFmt w:val="bullet"/>
      <w:lvlText w:val="•"/>
      <w:lvlJc w:val="left"/>
      <w:pPr>
        <w:ind w:left="4048" w:hanging="360"/>
      </w:pPr>
      <w:rPr>
        <w:rFonts w:hint="default"/>
      </w:rPr>
    </w:lvl>
    <w:lvl w:ilvl="5" w:tplc="81EC986C">
      <w:numFmt w:val="bullet"/>
      <w:lvlText w:val="•"/>
      <w:lvlJc w:val="left"/>
      <w:pPr>
        <w:ind w:left="4850" w:hanging="360"/>
      </w:pPr>
      <w:rPr>
        <w:rFonts w:hint="default"/>
      </w:rPr>
    </w:lvl>
    <w:lvl w:ilvl="6" w:tplc="FDC61D82">
      <w:numFmt w:val="bullet"/>
      <w:lvlText w:val="•"/>
      <w:lvlJc w:val="left"/>
      <w:pPr>
        <w:ind w:left="5652" w:hanging="360"/>
      </w:pPr>
      <w:rPr>
        <w:rFonts w:hint="default"/>
      </w:rPr>
    </w:lvl>
    <w:lvl w:ilvl="7" w:tplc="82ECFF82">
      <w:numFmt w:val="bullet"/>
      <w:lvlText w:val="•"/>
      <w:lvlJc w:val="left"/>
      <w:pPr>
        <w:ind w:left="6454" w:hanging="360"/>
      </w:pPr>
      <w:rPr>
        <w:rFonts w:hint="default"/>
      </w:rPr>
    </w:lvl>
    <w:lvl w:ilvl="8" w:tplc="A4A4AE74">
      <w:numFmt w:val="bullet"/>
      <w:lvlText w:val="•"/>
      <w:lvlJc w:val="left"/>
      <w:pPr>
        <w:ind w:left="7256" w:hanging="360"/>
      </w:pPr>
      <w:rPr>
        <w:rFonts w:hint="default"/>
      </w:rPr>
    </w:lvl>
  </w:abstractNum>
  <w:abstractNum w:abstractNumId="10" w15:restartNumberingAfterBreak="0">
    <w:nsid w:val="7DE1052A"/>
    <w:multiLevelType w:val="multilevel"/>
    <w:tmpl w:val="8454EEEC"/>
    <w:numStyleLink w:val="multi-listnumerals"/>
  </w:abstractNum>
  <w:num w:numId="1" w16cid:durableId="850803997">
    <w:abstractNumId w:val="5"/>
  </w:num>
  <w:num w:numId="2" w16cid:durableId="1302341947">
    <w:abstractNumId w:val="2"/>
  </w:num>
  <w:num w:numId="3" w16cid:durableId="395980122">
    <w:abstractNumId w:val="7"/>
  </w:num>
  <w:num w:numId="4" w16cid:durableId="539165738">
    <w:abstractNumId w:val="10"/>
  </w:num>
  <w:num w:numId="5" w16cid:durableId="953170737">
    <w:abstractNumId w:val="3"/>
  </w:num>
  <w:num w:numId="6" w16cid:durableId="1055129881">
    <w:abstractNumId w:val="6"/>
  </w:num>
  <w:num w:numId="7" w16cid:durableId="888496554">
    <w:abstractNumId w:val="0"/>
  </w:num>
  <w:num w:numId="8" w16cid:durableId="949631966">
    <w:abstractNumId w:val="8"/>
  </w:num>
  <w:num w:numId="9" w16cid:durableId="998729159">
    <w:abstractNumId w:val="9"/>
  </w:num>
  <w:num w:numId="10" w16cid:durableId="2138334717">
    <w:abstractNumId w:val="1"/>
  </w:num>
  <w:num w:numId="11" w16cid:durableId="1901674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29"/>
    <w:rsid w:val="0002373D"/>
    <w:rsid w:val="00145983"/>
    <w:rsid w:val="00145D75"/>
    <w:rsid w:val="00183D37"/>
    <w:rsid w:val="002713EB"/>
    <w:rsid w:val="00286BEA"/>
    <w:rsid w:val="002D468D"/>
    <w:rsid w:val="002F6D64"/>
    <w:rsid w:val="003164B8"/>
    <w:rsid w:val="0038338C"/>
    <w:rsid w:val="00397FE2"/>
    <w:rsid w:val="003B515F"/>
    <w:rsid w:val="003D33A0"/>
    <w:rsid w:val="003F4F2A"/>
    <w:rsid w:val="00430CC8"/>
    <w:rsid w:val="004B01BA"/>
    <w:rsid w:val="00512C3D"/>
    <w:rsid w:val="005C6290"/>
    <w:rsid w:val="00631689"/>
    <w:rsid w:val="006665F9"/>
    <w:rsid w:val="00682009"/>
    <w:rsid w:val="00705DC6"/>
    <w:rsid w:val="00733AF5"/>
    <w:rsid w:val="007A0613"/>
    <w:rsid w:val="007C5004"/>
    <w:rsid w:val="007C785E"/>
    <w:rsid w:val="007D062B"/>
    <w:rsid w:val="00810697"/>
    <w:rsid w:val="00822AD3"/>
    <w:rsid w:val="00844429"/>
    <w:rsid w:val="008A3264"/>
    <w:rsid w:val="008C4C41"/>
    <w:rsid w:val="00955F95"/>
    <w:rsid w:val="009C001A"/>
    <w:rsid w:val="00A11518"/>
    <w:rsid w:val="00A23107"/>
    <w:rsid w:val="00A554B7"/>
    <w:rsid w:val="00AA13EC"/>
    <w:rsid w:val="00AB0DFA"/>
    <w:rsid w:val="00B16546"/>
    <w:rsid w:val="00B605E8"/>
    <w:rsid w:val="00BC7A75"/>
    <w:rsid w:val="00C01E7E"/>
    <w:rsid w:val="00C65AD6"/>
    <w:rsid w:val="00C90606"/>
    <w:rsid w:val="00D44309"/>
    <w:rsid w:val="00D74A4D"/>
    <w:rsid w:val="00DF306A"/>
    <w:rsid w:val="00E4778B"/>
    <w:rsid w:val="00E90522"/>
    <w:rsid w:val="00EA24A7"/>
    <w:rsid w:val="00EA3A1C"/>
    <w:rsid w:val="00EE2093"/>
    <w:rsid w:val="00EF3B62"/>
    <w:rsid w:val="00F82E98"/>
    <w:rsid w:val="00FA7590"/>
    <w:rsid w:val="00FB1F4C"/>
    <w:rsid w:val="00FD3155"/>
    <w:rsid w:val="00FE456D"/>
    <w:rsid w:val="00FE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EEE73"/>
  <w15:chartTrackingRefBased/>
  <w15:docId w15:val="{1AFF8A14-0186-4BB0-A602-4763FD7D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3D"/>
    <w:pPr>
      <w:spacing w:after="240"/>
    </w:pPr>
    <w:rPr>
      <w:rFonts w:ascii="Rockwell" w:hAnsi="Rockwell"/>
      <w:kern w:val="2"/>
      <w:sz w:val="24"/>
      <w:szCs w:val="24"/>
    </w:rPr>
  </w:style>
  <w:style w:type="paragraph" w:styleId="Heading1">
    <w:name w:val="heading 1"/>
    <w:basedOn w:val="Normal"/>
    <w:next w:val="Normal"/>
    <w:link w:val="Heading1Char"/>
    <w:uiPriority w:val="9"/>
    <w:qFormat/>
    <w:rsid w:val="0002373D"/>
    <w:pPr>
      <w:keepNext/>
      <w:keepLines/>
      <w:spacing w:before="240" w:after="120"/>
      <w:outlineLvl w:val="0"/>
    </w:pPr>
    <w:rPr>
      <w:rFonts w:ascii="Franklin Gothic Medium" w:eastAsia="Times New Roman" w:hAnsi="Franklin Gothic Medium"/>
      <w:caps/>
      <w:color w:val="0F4761"/>
      <w:sz w:val="40"/>
      <w:szCs w:val="40"/>
    </w:rPr>
  </w:style>
  <w:style w:type="paragraph" w:styleId="Heading2">
    <w:name w:val="heading 2"/>
    <w:basedOn w:val="Normal"/>
    <w:next w:val="Normal"/>
    <w:link w:val="Heading2Char"/>
    <w:uiPriority w:val="9"/>
    <w:unhideWhenUsed/>
    <w:qFormat/>
    <w:rsid w:val="003F4F2A"/>
    <w:pPr>
      <w:keepNext/>
      <w:keepLines/>
      <w:spacing w:before="240" w:after="120"/>
      <w:outlineLvl w:val="1"/>
    </w:pPr>
    <w:rPr>
      <w:rFonts w:ascii="Franklin Gothic Medium" w:eastAsia="Times New Roman" w:hAnsi="Franklin Gothic Medium"/>
      <w:color w:val="007CB1"/>
      <w:sz w:val="32"/>
      <w:szCs w:val="32"/>
    </w:rPr>
  </w:style>
  <w:style w:type="paragraph" w:styleId="Heading3">
    <w:name w:val="heading 3"/>
    <w:basedOn w:val="Normal"/>
    <w:next w:val="Normal"/>
    <w:link w:val="Heading3Char"/>
    <w:uiPriority w:val="9"/>
    <w:unhideWhenUsed/>
    <w:qFormat/>
    <w:rsid w:val="00DF306A"/>
    <w:pPr>
      <w:keepNext/>
      <w:keepLines/>
      <w:spacing w:before="240" w:after="120"/>
      <w:outlineLvl w:val="2"/>
    </w:pPr>
    <w:rPr>
      <w:rFonts w:eastAsia="Times New Roman"/>
      <w:color w:val="007CB1"/>
      <w:sz w:val="28"/>
      <w:szCs w:val="28"/>
    </w:rPr>
  </w:style>
  <w:style w:type="paragraph" w:styleId="Heading4">
    <w:name w:val="heading 4"/>
    <w:basedOn w:val="Normal"/>
    <w:next w:val="Normal"/>
    <w:link w:val="Heading4Char"/>
    <w:uiPriority w:val="9"/>
    <w:semiHidden/>
    <w:unhideWhenUsed/>
    <w:qFormat/>
    <w:rsid w:val="002713E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373D"/>
    <w:rPr>
      <w:rFonts w:ascii="Franklin Gothic Medium" w:eastAsia="Times New Roman" w:hAnsi="Franklin Gothic Medium"/>
      <w:caps/>
      <w:color w:val="0F4761"/>
      <w:kern w:val="2"/>
      <w:sz w:val="40"/>
      <w:szCs w:val="40"/>
    </w:rPr>
  </w:style>
  <w:style w:type="character" w:customStyle="1" w:styleId="Heading2Char">
    <w:name w:val="Heading 2 Char"/>
    <w:link w:val="Heading2"/>
    <w:uiPriority w:val="9"/>
    <w:rsid w:val="003F4F2A"/>
    <w:rPr>
      <w:rFonts w:ascii="Franklin Gothic Medium" w:eastAsia="Times New Roman" w:hAnsi="Franklin Gothic Medium"/>
      <w:color w:val="007CB1"/>
      <w:kern w:val="2"/>
      <w:sz w:val="32"/>
      <w:szCs w:val="32"/>
    </w:rPr>
  </w:style>
  <w:style w:type="character" w:customStyle="1" w:styleId="Heading3Char">
    <w:name w:val="Heading 3 Char"/>
    <w:link w:val="Heading3"/>
    <w:uiPriority w:val="9"/>
    <w:rsid w:val="00DF306A"/>
    <w:rPr>
      <w:rFonts w:ascii="Rockwell" w:eastAsia="Times New Roman" w:hAnsi="Rockwell"/>
      <w:color w:val="007CB1"/>
      <w:kern w:val="2"/>
      <w:sz w:val="28"/>
      <w:szCs w:val="28"/>
    </w:rPr>
  </w:style>
  <w:style w:type="character" w:customStyle="1" w:styleId="Heading4Char">
    <w:name w:val="Heading 4 Char"/>
    <w:link w:val="Heading4"/>
    <w:uiPriority w:val="9"/>
    <w:semiHidden/>
    <w:rsid w:val="002713EB"/>
    <w:rPr>
      <w:rFonts w:eastAsia="Times New Roman" w:cs="Times New Roman"/>
      <w:i/>
      <w:iCs/>
      <w:color w:val="0F4761"/>
    </w:rPr>
  </w:style>
  <w:style w:type="character" w:customStyle="1" w:styleId="Heading5Char">
    <w:name w:val="Heading 5 Char"/>
    <w:link w:val="Heading5"/>
    <w:uiPriority w:val="9"/>
    <w:semiHidden/>
    <w:rsid w:val="002713EB"/>
    <w:rPr>
      <w:rFonts w:eastAsia="Times New Roman" w:cs="Times New Roman"/>
      <w:color w:val="0F4761"/>
    </w:rPr>
  </w:style>
  <w:style w:type="character" w:customStyle="1" w:styleId="Heading6Char">
    <w:name w:val="Heading 6 Char"/>
    <w:link w:val="Heading6"/>
    <w:uiPriority w:val="9"/>
    <w:semiHidden/>
    <w:rsid w:val="002713EB"/>
    <w:rPr>
      <w:rFonts w:eastAsia="Times New Roman" w:cs="Times New Roman"/>
      <w:i/>
      <w:iCs/>
      <w:color w:val="595959"/>
    </w:rPr>
  </w:style>
  <w:style w:type="character" w:customStyle="1" w:styleId="Heading7Char">
    <w:name w:val="Heading 7 Char"/>
    <w:link w:val="Heading7"/>
    <w:uiPriority w:val="9"/>
    <w:semiHidden/>
    <w:rsid w:val="002713EB"/>
    <w:rPr>
      <w:rFonts w:eastAsia="Times New Roman" w:cs="Times New Roman"/>
      <w:color w:val="595959"/>
    </w:rPr>
  </w:style>
  <w:style w:type="character" w:customStyle="1" w:styleId="Heading8Char">
    <w:name w:val="Heading 8 Char"/>
    <w:link w:val="Heading8"/>
    <w:uiPriority w:val="9"/>
    <w:semiHidden/>
    <w:rsid w:val="002713EB"/>
    <w:rPr>
      <w:rFonts w:eastAsia="Times New Roman" w:cs="Times New Roman"/>
      <w:i/>
      <w:iCs/>
      <w:color w:val="272727"/>
    </w:rPr>
  </w:style>
  <w:style w:type="character" w:customStyle="1" w:styleId="Heading9Char">
    <w:name w:val="Heading 9 Char"/>
    <w:link w:val="Heading9"/>
    <w:uiPriority w:val="9"/>
    <w:semiHidden/>
    <w:rsid w:val="002713EB"/>
    <w:rPr>
      <w:rFonts w:eastAsia="Times New Roman" w:cs="Times New Roman"/>
      <w:color w:val="272727"/>
    </w:rPr>
  </w:style>
  <w:style w:type="paragraph" w:styleId="Title">
    <w:name w:val="Title"/>
    <w:basedOn w:val="Normal"/>
    <w:next w:val="Normal"/>
    <w:link w:val="TitleChar"/>
    <w:uiPriority w:val="10"/>
    <w:qFormat/>
    <w:rsid w:val="00AA13EC"/>
    <w:pPr>
      <w:spacing w:before="240"/>
      <w:contextualSpacing/>
    </w:pPr>
    <w:rPr>
      <w:rFonts w:eastAsia="Times New Roman"/>
      <w:b/>
      <w:caps/>
      <w:color w:val="1E407C"/>
      <w:spacing w:val="-10"/>
      <w:kern w:val="28"/>
      <w:sz w:val="44"/>
      <w:szCs w:val="56"/>
    </w:rPr>
  </w:style>
  <w:style w:type="character" w:customStyle="1" w:styleId="TitleChar">
    <w:name w:val="Title Char"/>
    <w:link w:val="Title"/>
    <w:uiPriority w:val="10"/>
    <w:rsid w:val="00AA13EC"/>
    <w:rPr>
      <w:rFonts w:ascii="Rockwell" w:eastAsia="Times New Roman" w:hAnsi="Rockwell"/>
      <w:b/>
      <w:caps/>
      <w:color w:val="1E407C"/>
      <w:spacing w:val="-10"/>
      <w:kern w:val="28"/>
      <w:sz w:val="44"/>
      <w:szCs w:val="56"/>
    </w:rPr>
  </w:style>
  <w:style w:type="paragraph" w:styleId="Quote">
    <w:name w:val="Quote"/>
    <w:basedOn w:val="Normal"/>
    <w:next w:val="Normal"/>
    <w:link w:val="QuoteChar"/>
    <w:uiPriority w:val="29"/>
    <w:qFormat/>
    <w:rsid w:val="002713EB"/>
    <w:pPr>
      <w:spacing w:before="160"/>
      <w:jc w:val="center"/>
    </w:pPr>
    <w:rPr>
      <w:i/>
      <w:iCs/>
      <w:color w:val="404040"/>
    </w:rPr>
  </w:style>
  <w:style w:type="character" w:customStyle="1" w:styleId="QuoteChar">
    <w:name w:val="Quote Char"/>
    <w:link w:val="Quote"/>
    <w:uiPriority w:val="29"/>
    <w:rsid w:val="002713EB"/>
    <w:rPr>
      <w:i/>
      <w:iCs/>
      <w:color w:val="404040"/>
    </w:rPr>
  </w:style>
  <w:style w:type="paragraph" w:styleId="ListParagraph">
    <w:name w:val="List Paragraph"/>
    <w:basedOn w:val="Normal"/>
    <w:link w:val="ListParagraphChar"/>
    <w:uiPriority w:val="1"/>
    <w:qFormat/>
    <w:rsid w:val="00EA3A1C"/>
    <w:pPr>
      <w:numPr>
        <w:numId w:val="2"/>
      </w:numPr>
      <w:ind w:left="360"/>
      <w:contextualSpacing/>
    </w:pPr>
  </w:style>
  <w:style w:type="character" w:styleId="IntenseEmphasis">
    <w:name w:val="Intense Emphasis"/>
    <w:uiPriority w:val="21"/>
    <w:qFormat/>
    <w:rsid w:val="002713EB"/>
    <w:rPr>
      <w:i/>
      <w:iCs/>
      <w:color w:val="0F4761"/>
    </w:rPr>
  </w:style>
  <w:style w:type="paragraph" w:styleId="IntenseQuote">
    <w:name w:val="Intense Quote"/>
    <w:basedOn w:val="Normal"/>
    <w:next w:val="Normal"/>
    <w:link w:val="IntenseQuoteChar"/>
    <w:uiPriority w:val="30"/>
    <w:qFormat/>
    <w:rsid w:val="002713E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713EB"/>
    <w:rPr>
      <w:i/>
      <w:iCs/>
      <w:color w:val="0F4761"/>
    </w:rPr>
  </w:style>
  <w:style w:type="character" w:styleId="IntenseReference">
    <w:name w:val="Intense Reference"/>
    <w:uiPriority w:val="32"/>
    <w:rsid w:val="002713EB"/>
    <w:rPr>
      <w:b/>
      <w:bCs/>
      <w:smallCaps/>
      <w:color w:val="0F4761"/>
      <w:spacing w:val="5"/>
    </w:rPr>
  </w:style>
  <w:style w:type="paragraph" w:styleId="Header">
    <w:name w:val="header"/>
    <w:basedOn w:val="Normal"/>
    <w:link w:val="HeaderChar"/>
    <w:uiPriority w:val="99"/>
    <w:unhideWhenUsed/>
    <w:rsid w:val="007C785E"/>
    <w:pPr>
      <w:tabs>
        <w:tab w:val="center" w:pos="4680"/>
        <w:tab w:val="right" w:pos="9360"/>
      </w:tabs>
      <w:spacing w:after="0"/>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pPr>
  </w:style>
  <w:style w:type="character" w:customStyle="1" w:styleId="FooterChar">
    <w:name w:val="Footer Char"/>
    <w:basedOn w:val="DefaultParagraphFont"/>
    <w:link w:val="Footer"/>
    <w:uiPriority w:val="99"/>
    <w:rsid w:val="007C785E"/>
  </w:style>
  <w:style w:type="numbering" w:customStyle="1" w:styleId="multi-listnumerals">
    <w:name w:val="multi-list numerals"/>
    <w:uiPriority w:val="99"/>
    <w:rsid w:val="00A554B7"/>
    <w:pPr>
      <w:numPr>
        <w:numId w:val="3"/>
      </w:numPr>
    </w:pPr>
  </w:style>
  <w:style w:type="numbering" w:customStyle="1" w:styleId="Multi-levellistsnumbered">
    <w:name w:val="Multi-level lists numbered"/>
    <w:uiPriority w:val="99"/>
    <w:rsid w:val="00A554B7"/>
    <w:pPr>
      <w:numPr>
        <w:numId w:val="6"/>
      </w:numPr>
    </w:pPr>
  </w:style>
  <w:style w:type="paragraph" w:customStyle="1" w:styleId="multi-levellistNumeric">
    <w:name w:val="multi-level list Numeric"/>
    <w:basedOn w:val="Normal"/>
    <w:link w:val="multi-levellistNumericChar"/>
    <w:qFormat/>
    <w:rsid w:val="00D44309"/>
    <w:pPr>
      <w:numPr>
        <w:numId w:val="5"/>
      </w:numPr>
      <w:spacing w:after="60"/>
    </w:pPr>
  </w:style>
  <w:style w:type="character" w:customStyle="1" w:styleId="ListParagraphChar">
    <w:name w:val="List Paragraph Char"/>
    <w:basedOn w:val="DefaultParagraphFont"/>
    <w:link w:val="ListParagraph"/>
    <w:uiPriority w:val="34"/>
    <w:rsid w:val="00EA3A1C"/>
    <w:rPr>
      <w:rFonts w:ascii="Rockwell" w:hAnsi="Rockwell"/>
      <w:kern w:val="2"/>
      <w:sz w:val="24"/>
      <w:szCs w:val="24"/>
    </w:rPr>
  </w:style>
  <w:style w:type="character" w:customStyle="1" w:styleId="multi-levellistNumericChar">
    <w:name w:val="multi-level list Numeric Char"/>
    <w:basedOn w:val="ListParagraphChar"/>
    <w:link w:val="multi-levellistNumeric"/>
    <w:rsid w:val="00D44309"/>
    <w:rPr>
      <w:rFonts w:ascii="Rockwell" w:hAnsi="Rockwell"/>
      <w:kern w:val="2"/>
      <w:sz w:val="24"/>
      <w:szCs w:val="24"/>
    </w:rPr>
  </w:style>
  <w:style w:type="paragraph" w:customStyle="1" w:styleId="ListBulleted">
    <w:name w:val="List Bulleted"/>
    <w:basedOn w:val="Normal"/>
    <w:link w:val="ListBulletedChar"/>
    <w:qFormat/>
    <w:rsid w:val="00D44309"/>
    <w:pPr>
      <w:numPr>
        <w:numId w:val="8"/>
      </w:numPr>
      <w:spacing w:after="60"/>
      <w:ind w:left="360"/>
    </w:pPr>
  </w:style>
  <w:style w:type="character" w:customStyle="1" w:styleId="ListBulletedChar">
    <w:name w:val="List Bulleted Char"/>
    <w:basedOn w:val="DefaultParagraphFont"/>
    <w:link w:val="ListBulleted"/>
    <w:rsid w:val="00D44309"/>
    <w:rPr>
      <w:rFonts w:ascii="Rockwell" w:hAnsi="Rockwell"/>
      <w:kern w:val="2"/>
      <w:sz w:val="24"/>
      <w:szCs w:val="24"/>
    </w:rPr>
  </w:style>
  <w:style w:type="paragraph" w:styleId="BodyText">
    <w:name w:val="Body Text"/>
    <w:basedOn w:val="Normal"/>
    <w:link w:val="BodyTextChar"/>
    <w:uiPriority w:val="1"/>
    <w:qFormat/>
    <w:rsid w:val="002D468D"/>
    <w:pPr>
      <w:widowControl w:val="0"/>
      <w:autoSpaceDE w:val="0"/>
      <w:autoSpaceDN w:val="0"/>
      <w:spacing w:after="0"/>
    </w:pPr>
    <w:rPr>
      <w:rFonts w:ascii="Times New Roman" w:eastAsia="Times New Roman" w:hAnsi="Times New Roman"/>
      <w:kern w:val="0"/>
    </w:rPr>
  </w:style>
  <w:style w:type="character" w:customStyle="1" w:styleId="BodyTextChar">
    <w:name w:val="Body Text Char"/>
    <w:basedOn w:val="DefaultParagraphFont"/>
    <w:link w:val="BodyText"/>
    <w:uiPriority w:val="1"/>
    <w:rsid w:val="002D468D"/>
    <w:rPr>
      <w:rFonts w:ascii="Times New Roman" w:eastAsia="Times New Roman" w:hAnsi="Times New Roman"/>
      <w:sz w:val="24"/>
      <w:szCs w:val="24"/>
    </w:rPr>
  </w:style>
  <w:style w:type="character" w:styleId="Hyperlink">
    <w:name w:val="Hyperlink"/>
    <w:basedOn w:val="DefaultParagraphFont"/>
    <w:uiPriority w:val="99"/>
    <w:unhideWhenUsed/>
    <w:rsid w:val="002D468D"/>
    <w:rPr>
      <w:color w:val="467886" w:themeColor="hyperlink"/>
      <w:u w:val="single"/>
    </w:rPr>
  </w:style>
  <w:style w:type="paragraph" w:styleId="NormalWeb">
    <w:name w:val="Normal (Web)"/>
    <w:basedOn w:val="Normal"/>
    <w:uiPriority w:val="99"/>
    <w:semiHidden/>
    <w:unhideWhenUsed/>
    <w:rsid w:val="002D468D"/>
    <w:pPr>
      <w:spacing w:before="100" w:beforeAutospacing="1" w:after="100" w:afterAutospacing="1"/>
    </w:pPr>
    <w:rPr>
      <w:rFonts w:ascii="Times New Roman" w:eastAsia="Times New Roman" w:hAnsi="Times New Roman"/>
      <w:kern w:val="0"/>
    </w:rPr>
  </w:style>
  <w:style w:type="character" w:styleId="FollowedHyperlink">
    <w:name w:val="FollowedHyperlink"/>
    <w:basedOn w:val="DefaultParagraphFont"/>
    <w:uiPriority w:val="99"/>
    <w:semiHidden/>
    <w:unhideWhenUsed/>
    <w:rsid w:val="005C62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dergrad.psu.edu/aapp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cdev.e-education.psu.edu/teach/bestpractic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undergrad.psu.edu/aappm/C-3-minimum-course-enrollment-threshold-expectation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k17\OneDrive%20-%20The%20Pennsylvania%20State%20University\Documents%20-%20CEDO\Policies%20and%20Guidelines\EMS%20Word%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1485F-16EC-4A03-B083-A7CE567AE7E4}">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customXml/itemProps2.xml><?xml version="1.0" encoding="utf-8"?>
<ds:datastoreItem xmlns:ds="http://schemas.openxmlformats.org/officeDocument/2006/customXml" ds:itemID="{94385A57-1B0D-4C3B-AF1C-B533D9979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D412D-6554-41A5-BA91-F75E34E92110}">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EMS Word template2</Template>
  <TotalTime>2</TotalTime>
  <Pages>4</Pages>
  <Words>1062</Words>
  <Characters>6055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Links>
    <vt:vector size="6" baseType="variant">
      <vt:variant>
        <vt:i4>1638475</vt:i4>
      </vt:variant>
      <vt:variant>
        <vt:i4>0</vt:i4>
      </vt:variant>
      <vt:variant>
        <vt:i4>0</vt:i4>
      </vt:variant>
      <vt:variant>
        <vt:i4>5</vt:i4>
      </vt:variant>
      <vt:variant>
        <vt:lpwstr>https://policy.psu.edu/policies/ac14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Kiver, Nicola Marie</dc:creator>
  <cp:keywords/>
  <dc:description/>
  <cp:lastModifiedBy>Craig, Patricia Lee</cp:lastModifiedBy>
  <cp:revision>2</cp:revision>
  <dcterms:created xsi:type="dcterms:W3CDTF">2025-05-19T19:09:00Z</dcterms:created>
  <dcterms:modified xsi:type="dcterms:W3CDTF">2025-05-19T19:09:00Z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0x010100DF00C4AF76F33C4EB64A9780A2FDA46F</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cf76f155ced4ddcb4097134ff3c332f">
    <vt:lpwstr/>
  </property>
  <property fmtid="{D5CDD505-2E9C-101B-9397-08002B2CF9AE}" pid="11" name="TaxCatchAll">
    <vt:lpwstr/>
  </property>
</Properties>
</file>