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E8DFE" w14:textId="77777777" w:rsidR="004B79BB" w:rsidRPr="004B79BB" w:rsidRDefault="004B79BB" w:rsidP="006A5171">
      <w:pPr>
        <w:pStyle w:val="Title"/>
      </w:pPr>
      <w:r w:rsidRPr="004B79BB">
        <w:t>Academic Sick Leave Guidelines</w:t>
      </w:r>
    </w:p>
    <w:p w14:paraId="19A6AA07" w14:textId="77777777" w:rsidR="006F52B3" w:rsidRPr="00171145" w:rsidRDefault="006F52B3" w:rsidP="006F52B3">
      <w:pPr>
        <w:spacing w:after="0"/>
        <w:rPr>
          <w:rFonts w:cstheme="minorHAnsi"/>
        </w:rPr>
      </w:pPr>
    </w:p>
    <w:p w14:paraId="29D58C5C" w14:textId="77777777" w:rsidR="006F52B3" w:rsidRPr="00171145" w:rsidRDefault="006F52B3" w:rsidP="006F52B3">
      <w:pPr>
        <w:spacing w:after="0"/>
        <w:rPr>
          <w:rFonts w:cstheme="minorHAnsi"/>
        </w:rPr>
      </w:pPr>
      <w:hyperlink w:anchor="Purpose" w:history="1">
        <w:r w:rsidRPr="00171145">
          <w:rPr>
            <w:rStyle w:val="Hyperlink"/>
            <w:rFonts w:cstheme="minorHAnsi"/>
          </w:rPr>
          <w:t>Purpose</w:t>
        </w:r>
      </w:hyperlink>
    </w:p>
    <w:p w14:paraId="007679A5" w14:textId="77777777" w:rsidR="006F52B3" w:rsidRPr="00171145" w:rsidRDefault="006F52B3" w:rsidP="006F52B3">
      <w:pPr>
        <w:spacing w:after="0"/>
        <w:rPr>
          <w:rStyle w:val="Hyperlink"/>
          <w:rFonts w:cstheme="minorHAnsi"/>
        </w:rPr>
      </w:pPr>
      <w:hyperlink w:anchor="SickLeave" w:history="1">
        <w:r w:rsidRPr="00171145">
          <w:rPr>
            <w:rStyle w:val="Hyperlink"/>
            <w:rFonts w:cstheme="minorHAnsi"/>
          </w:rPr>
          <w:t>Sick Leave</w:t>
        </w:r>
      </w:hyperlink>
    </w:p>
    <w:p w14:paraId="5C2568B6" w14:textId="25767EF3" w:rsidR="006F52B3" w:rsidRPr="00171145" w:rsidRDefault="00595021" w:rsidP="006F52B3">
      <w:pPr>
        <w:spacing w:after="0"/>
        <w:rPr>
          <w:rFonts w:cstheme="minorHAnsi"/>
        </w:rPr>
      </w:pPr>
      <w:hyperlink w:anchor="Other" w:history="1">
        <w:r>
          <w:rPr>
            <w:rStyle w:val="Hyperlink"/>
            <w:rFonts w:cstheme="minorHAnsi"/>
          </w:rPr>
          <w:t>Resources</w:t>
        </w:r>
      </w:hyperlink>
    </w:p>
    <w:p w14:paraId="1470DE72" w14:textId="77777777" w:rsidR="005714A3" w:rsidRDefault="005714A3" w:rsidP="005714A3">
      <w:pPr>
        <w:spacing w:after="0"/>
        <w:rPr>
          <w:rFonts w:cstheme="minorHAnsi"/>
          <w:b/>
        </w:rPr>
      </w:pPr>
      <w:bookmarkStart w:id="0" w:name="Purpose"/>
    </w:p>
    <w:p w14:paraId="588BEA10" w14:textId="3BB11B4B" w:rsidR="005714A3" w:rsidRPr="00171145" w:rsidRDefault="005714A3" w:rsidP="006A5171">
      <w:pPr>
        <w:pStyle w:val="Heading1"/>
      </w:pPr>
      <w:r w:rsidRPr="00171145">
        <w:t>PURPOSE</w:t>
      </w:r>
      <w:bookmarkEnd w:id="0"/>
      <w:r w:rsidRPr="00171145">
        <w:t>:</w:t>
      </w:r>
    </w:p>
    <w:p w14:paraId="19B22056" w14:textId="30DA01A4" w:rsidR="005714A3" w:rsidRPr="00171145" w:rsidRDefault="005714A3" w:rsidP="005714A3">
      <w:pPr>
        <w:spacing w:after="0"/>
        <w:rPr>
          <w:rFonts w:cstheme="minorHAnsi"/>
        </w:rPr>
      </w:pPr>
      <w:r w:rsidRPr="00171145">
        <w:rPr>
          <w:rFonts w:cstheme="minorHAnsi"/>
        </w:rPr>
        <w:t xml:space="preserve">To establish the terms and conditions for full-time academic appointments (Tenure-Line and Non-Tenure-Line), to include paid and unpaid academic sick leave during the Fall and Spring Semesters. Unless otherwise specified below, the term </w:t>
      </w:r>
      <w:r w:rsidRPr="00171145">
        <w:rPr>
          <w:rFonts w:cstheme="minorHAnsi"/>
          <w:i/>
        </w:rPr>
        <w:t>faculty member</w:t>
      </w:r>
      <w:r w:rsidRPr="00171145">
        <w:rPr>
          <w:rFonts w:cstheme="minorHAnsi"/>
        </w:rPr>
        <w:t xml:space="preserve"> includes the academic appointment employees noted above. These guidelines are not intended for short duration absences that can be handled in other ways. These guidelines are for longer-term illnesses or medical needs (i.e., continuous absences of more than five </w:t>
      </w:r>
      <w:r>
        <w:rPr>
          <w:rFonts w:cstheme="minorHAnsi"/>
        </w:rPr>
        <w:t xml:space="preserve">business </w:t>
      </w:r>
      <w:r w:rsidRPr="00171145">
        <w:rPr>
          <w:rFonts w:cstheme="minorHAnsi"/>
        </w:rPr>
        <w:t>days in a row).</w:t>
      </w:r>
    </w:p>
    <w:p w14:paraId="618F3B49" w14:textId="77777777" w:rsidR="005714A3" w:rsidRPr="00171145" w:rsidRDefault="005714A3" w:rsidP="006A5171">
      <w:pPr>
        <w:pStyle w:val="Heading1"/>
      </w:pPr>
      <w:bookmarkStart w:id="1" w:name="SickLeave"/>
      <w:r w:rsidRPr="00171145">
        <w:t>SICK LEAVE:</w:t>
      </w:r>
    </w:p>
    <w:bookmarkEnd w:id="1"/>
    <w:p w14:paraId="4EE25AA0" w14:textId="77777777" w:rsidR="005714A3" w:rsidRPr="00171145" w:rsidRDefault="005714A3" w:rsidP="005714A3">
      <w:pPr>
        <w:spacing w:after="0"/>
        <w:rPr>
          <w:rFonts w:cstheme="minorHAnsi"/>
        </w:rPr>
      </w:pPr>
      <w:r w:rsidRPr="00171145">
        <w:rPr>
          <w:rFonts w:cstheme="minorHAnsi"/>
        </w:rPr>
        <w:t>Faculty members in the College of Earth and Mineral Science will be eligible for paid sick leave under the following schedule:</w:t>
      </w:r>
    </w:p>
    <w:p w14:paraId="5CBB96AC" w14:textId="77777777" w:rsidR="005714A3" w:rsidRPr="00171145" w:rsidRDefault="005714A3" w:rsidP="005714A3">
      <w:pPr>
        <w:spacing w:after="0"/>
        <w:rPr>
          <w:rFonts w:cstheme="minorHAnsi"/>
        </w:rPr>
      </w:pPr>
    </w:p>
    <w:tbl>
      <w:tblPr>
        <w:tblStyle w:val="TableGrid"/>
        <w:tblW w:w="0" w:type="auto"/>
        <w:tblLook w:val="04A0" w:firstRow="1" w:lastRow="0" w:firstColumn="1" w:lastColumn="0" w:noHBand="0" w:noVBand="1"/>
      </w:tblPr>
      <w:tblGrid>
        <w:gridCol w:w="4675"/>
        <w:gridCol w:w="4675"/>
      </w:tblGrid>
      <w:tr w:rsidR="005714A3" w:rsidRPr="00171145" w14:paraId="70CEA9B5" w14:textId="77777777" w:rsidTr="00495763">
        <w:tc>
          <w:tcPr>
            <w:tcW w:w="4675" w:type="dxa"/>
          </w:tcPr>
          <w:p w14:paraId="6C97546C" w14:textId="2BAD0B1B" w:rsidR="005714A3" w:rsidRPr="00171145" w:rsidRDefault="005714A3" w:rsidP="00495763">
            <w:pPr>
              <w:rPr>
                <w:rFonts w:cstheme="minorHAnsi"/>
              </w:rPr>
            </w:pPr>
            <w:r w:rsidRPr="00171145">
              <w:rPr>
                <w:rFonts w:cstheme="minorHAnsi"/>
              </w:rPr>
              <w:t>Length of Continuous University Service as a</w:t>
            </w:r>
            <w:r w:rsidR="00A90CD5">
              <w:rPr>
                <w:rFonts w:cstheme="minorHAnsi"/>
              </w:rPr>
              <w:t xml:space="preserve"> </w:t>
            </w:r>
            <w:r w:rsidRPr="00171145">
              <w:rPr>
                <w:rFonts w:cstheme="minorHAnsi"/>
              </w:rPr>
              <w:t>Full-Time University Employee at Beginning of</w:t>
            </w:r>
            <w:r>
              <w:rPr>
                <w:rFonts w:cstheme="minorHAnsi"/>
              </w:rPr>
              <w:t xml:space="preserve"> </w:t>
            </w:r>
            <w:r w:rsidRPr="00171145">
              <w:rPr>
                <w:rFonts w:cstheme="minorHAnsi"/>
              </w:rPr>
              <w:t>Absence</w:t>
            </w:r>
          </w:p>
        </w:tc>
        <w:tc>
          <w:tcPr>
            <w:tcW w:w="4675" w:type="dxa"/>
          </w:tcPr>
          <w:p w14:paraId="048EAEA5" w14:textId="77777777" w:rsidR="005714A3" w:rsidRPr="00171145" w:rsidRDefault="005714A3" w:rsidP="00495763">
            <w:pPr>
              <w:rPr>
                <w:rFonts w:cstheme="minorHAnsi"/>
              </w:rPr>
            </w:pPr>
            <w:r w:rsidRPr="00171145">
              <w:rPr>
                <w:rFonts w:cstheme="minorHAnsi"/>
              </w:rPr>
              <w:t>Allowance for Each Absence</w:t>
            </w:r>
            <w:r>
              <w:rPr>
                <w:rFonts w:cstheme="minorHAnsi"/>
              </w:rPr>
              <w:t xml:space="preserve"> (</w:t>
            </w:r>
            <w:r w:rsidRPr="00171145">
              <w:rPr>
                <w:rFonts w:cstheme="minorHAnsi"/>
              </w:rPr>
              <w:t xml:space="preserve">Business </w:t>
            </w:r>
            <w:r>
              <w:rPr>
                <w:rFonts w:cstheme="minorHAnsi"/>
              </w:rPr>
              <w:t>D</w:t>
            </w:r>
            <w:r w:rsidRPr="00171145">
              <w:rPr>
                <w:rFonts w:cstheme="minorHAnsi"/>
              </w:rPr>
              <w:t>ays</w:t>
            </w:r>
            <w:r>
              <w:rPr>
                <w:rFonts w:cstheme="minorHAnsi"/>
              </w:rPr>
              <w:t>)</w:t>
            </w:r>
          </w:p>
        </w:tc>
      </w:tr>
      <w:tr w:rsidR="005714A3" w:rsidRPr="00171145" w14:paraId="44231577" w14:textId="77777777" w:rsidTr="00495763">
        <w:tc>
          <w:tcPr>
            <w:tcW w:w="4675" w:type="dxa"/>
          </w:tcPr>
          <w:p w14:paraId="435186AE" w14:textId="77777777" w:rsidR="005714A3" w:rsidRPr="00171145" w:rsidRDefault="005714A3" w:rsidP="00495763">
            <w:pPr>
              <w:rPr>
                <w:rFonts w:cstheme="minorHAnsi"/>
              </w:rPr>
            </w:pPr>
            <w:r w:rsidRPr="00171145">
              <w:rPr>
                <w:rFonts w:cstheme="minorHAnsi"/>
              </w:rPr>
              <w:t>Less than 2 years</w:t>
            </w:r>
          </w:p>
        </w:tc>
        <w:tc>
          <w:tcPr>
            <w:tcW w:w="4675" w:type="dxa"/>
          </w:tcPr>
          <w:p w14:paraId="29A899DA" w14:textId="77777777" w:rsidR="005714A3" w:rsidRPr="00171145" w:rsidRDefault="005714A3" w:rsidP="00495763">
            <w:pPr>
              <w:rPr>
                <w:rFonts w:cstheme="minorHAnsi"/>
              </w:rPr>
            </w:pPr>
            <w:r w:rsidRPr="00171145">
              <w:rPr>
                <w:rFonts w:cstheme="minorHAnsi"/>
              </w:rPr>
              <w:t>20 days*</w:t>
            </w:r>
          </w:p>
        </w:tc>
      </w:tr>
      <w:tr w:rsidR="005714A3" w:rsidRPr="00171145" w14:paraId="2F6FA969" w14:textId="77777777" w:rsidTr="00495763">
        <w:tc>
          <w:tcPr>
            <w:tcW w:w="4675" w:type="dxa"/>
          </w:tcPr>
          <w:p w14:paraId="10FB44D5" w14:textId="77777777" w:rsidR="005714A3" w:rsidRPr="00171145" w:rsidRDefault="005714A3" w:rsidP="00495763">
            <w:pPr>
              <w:rPr>
                <w:rFonts w:cstheme="minorHAnsi"/>
              </w:rPr>
            </w:pPr>
            <w:r w:rsidRPr="00171145">
              <w:rPr>
                <w:rFonts w:cstheme="minorHAnsi"/>
              </w:rPr>
              <w:t>More than 2, but less than 5 years</w:t>
            </w:r>
          </w:p>
        </w:tc>
        <w:tc>
          <w:tcPr>
            <w:tcW w:w="4675" w:type="dxa"/>
          </w:tcPr>
          <w:p w14:paraId="128C679D" w14:textId="77777777" w:rsidR="005714A3" w:rsidRPr="00171145" w:rsidRDefault="005714A3" w:rsidP="00495763">
            <w:pPr>
              <w:rPr>
                <w:rFonts w:cstheme="minorHAnsi"/>
              </w:rPr>
            </w:pPr>
            <w:r w:rsidRPr="00171145">
              <w:rPr>
                <w:rFonts w:cstheme="minorHAnsi"/>
              </w:rPr>
              <w:t>40 days*</w:t>
            </w:r>
          </w:p>
        </w:tc>
      </w:tr>
      <w:tr w:rsidR="005714A3" w:rsidRPr="00171145" w14:paraId="372319B4" w14:textId="77777777" w:rsidTr="00495763">
        <w:tc>
          <w:tcPr>
            <w:tcW w:w="4675" w:type="dxa"/>
          </w:tcPr>
          <w:p w14:paraId="69C2DD89" w14:textId="77777777" w:rsidR="005714A3" w:rsidRPr="00171145" w:rsidRDefault="005714A3" w:rsidP="00495763">
            <w:pPr>
              <w:rPr>
                <w:rFonts w:cstheme="minorHAnsi"/>
              </w:rPr>
            </w:pPr>
            <w:r w:rsidRPr="00171145">
              <w:rPr>
                <w:rFonts w:cstheme="minorHAnsi"/>
              </w:rPr>
              <w:t>More than 5, but less than 10 years</w:t>
            </w:r>
          </w:p>
        </w:tc>
        <w:tc>
          <w:tcPr>
            <w:tcW w:w="4675" w:type="dxa"/>
          </w:tcPr>
          <w:p w14:paraId="73B9BA0A" w14:textId="77777777" w:rsidR="005714A3" w:rsidRPr="00171145" w:rsidRDefault="005714A3" w:rsidP="00495763">
            <w:pPr>
              <w:rPr>
                <w:rFonts w:cstheme="minorHAnsi"/>
              </w:rPr>
            </w:pPr>
            <w:r w:rsidRPr="00171145">
              <w:rPr>
                <w:rFonts w:cstheme="minorHAnsi"/>
              </w:rPr>
              <w:t>90 days*</w:t>
            </w:r>
          </w:p>
        </w:tc>
      </w:tr>
      <w:tr w:rsidR="005714A3" w:rsidRPr="00171145" w14:paraId="657AAA11" w14:textId="77777777" w:rsidTr="00495763">
        <w:tc>
          <w:tcPr>
            <w:tcW w:w="4675" w:type="dxa"/>
          </w:tcPr>
          <w:p w14:paraId="589DE2D5" w14:textId="77777777" w:rsidR="005714A3" w:rsidRPr="00171145" w:rsidRDefault="005714A3" w:rsidP="00495763">
            <w:pPr>
              <w:rPr>
                <w:rFonts w:cstheme="minorHAnsi"/>
              </w:rPr>
            </w:pPr>
            <w:r w:rsidRPr="00171145">
              <w:rPr>
                <w:rFonts w:cstheme="minorHAnsi"/>
              </w:rPr>
              <w:t>More than 10 years</w:t>
            </w:r>
          </w:p>
        </w:tc>
        <w:tc>
          <w:tcPr>
            <w:tcW w:w="4675" w:type="dxa"/>
          </w:tcPr>
          <w:p w14:paraId="3C13FA6B" w14:textId="77777777" w:rsidR="005714A3" w:rsidRPr="00171145" w:rsidRDefault="005714A3" w:rsidP="00495763">
            <w:pPr>
              <w:rPr>
                <w:rFonts w:cstheme="minorHAnsi"/>
              </w:rPr>
            </w:pPr>
            <w:r w:rsidRPr="00171145">
              <w:rPr>
                <w:rFonts w:cstheme="minorHAnsi"/>
              </w:rPr>
              <w:t>120 days*</w:t>
            </w:r>
          </w:p>
        </w:tc>
      </w:tr>
    </w:tbl>
    <w:p w14:paraId="2DDB4E28" w14:textId="77777777" w:rsidR="005714A3" w:rsidRPr="00171145" w:rsidRDefault="005714A3" w:rsidP="005714A3">
      <w:pPr>
        <w:spacing w:after="0"/>
        <w:rPr>
          <w:rFonts w:cstheme="minorHAnsi"/>
        </w:rPr>
      </w:pPr>
    </w:p>
    <w:p w14:paraId="5152114C" w14:textId="77777777" w:rsidR="005714A3" w:rsidRPr="00171145" w:rsidRDefault="005714A3" w:rsidP="005714A3">
      <w:pPr>
        <w:spacing w:after="0"/>
        <w:rPr>
          <w:rFonts w:cstheme="minorHAnsi"/>
        </w:rPr>
      </w:pPr>
      <w:r w:rsidRPr="00171145">
        <w:rPr>
          <w:rFonts w:cstheme="minorHAnsi"/>
        </w:rPr>
        <w:t>*Non-tenure-line contracts/appointments 1) will not be renewed for the purpose of depleting the absence allowance; and 2) will not be terminated solely because of an absence due to illness.</w:t>
      </w:r>
    </w:p>
    <w:p w14:paraId="546E765C" w14:textId="77777777" w:rsidR="005714A3" w:rsidRPr="00171145" w:rsidRDefault="005714A3" w:rsidP="005714A3">
      <w:pPr>
        <w:spacing w:after="0"/>
        <w:rPr>
          <w:rFonts w:cstheme="minorHAnsi"/>
        </w:rPr>
      </w:pPr>
    </w:p>
    <w:p w14:paraId="2CBF9AE3" w14:textId="77777777" w:rsidR="005714A3" w:rsidRPr="00171145" w:rsidRDefault="005714A3" w:rsidP="005714A3">
      <w:pPr>
        <w:spacing w:after="0"/>
        <w:rPr>
          <w:rFonts w:cstheme="minorHAnsi"/>
        </w:rPr>
      </w:pPr>
      <w:r w:rsidRPr="00171145">
        <w:rPr>
          <w:rFonts w:cstheme="minorHAnsi"/>
        </w:rPr>
        <w:t xml:space="preserve">If the faculty member returns to active service, and within sixty calendar days returns to leave status for the same illness or injury, the amount of time charged to leave with </w:t>
      </w:r>
      <w:r w:rsidRPr="00171145">
        <w:rPr>
          <w:rFonts w:cstheme="minorHAnsi"/>
        </w:rPr>
        <w:lastRenderedPageBreak/>
        <w:t>pay for the previous absence shall be counted against the allowance for the subsequent absence when determining the new allowance.</w:t>
      </w:r>
    </w:p>
    <w:p w14:paraId="4DA5CCC8" w14:textId="77777777" w:rsidR="005714A3" w:rsidRPr="00171145" w:rsidRDefault="005714A3" w:rsidP="005714A3">
      <w:pPr>
        <w:spacing w:after="0"/>
        <w:rPr>
          <w:rFonts w:cstheme="minorHAnsi"/>
        </w:rPr>
      </w:pPr>
    </w:p>
    <w:p w14:paraId="6CADF815" w14:textId="77777777" w:rsidR="005714A3" w:rsidRPr="00171145" w:rsidRDefault="005714A3" w:rsidP="005714A3">
      <w:pPr>
        <w:spacing w:after="0"/>
        <w:rPr>
          <w:rFonts w:cstheme="minorHAnsi"/>
        </w:rPr>
      </w:pPr>
      <w:r w:rsidRPr="00171145">
        <w:rPr>
          <w:rFonts w:cstheme="minorHAnsi"/>
        </w:rPr>
        <w:t xml:space="preserve">Approval for paid or unpaid sick leave for absences must be supported by Family and Medical Leave Act (FMLA) medical certification form completed by the health care provider and submitted to Penn State’s Human Resource’s office of Absence Management. Contact the EMS Human Resources Office for consultation, information and required forms. See also HRG11- Family and Medical Leave at </w:t>
      </w:r>
      <w:hyperlink r:id="rId10" w:history="1">
        <w:r w:rsidRPr="00171145">
          <w:rPr>
            <w:rStyle w:val="Hyperlink"/>
            <w:rFonts w:cstheme="minorHAnsi"/>
          </w:rPr>
          <w:t>https://policy.psu.edu/policies/hrg11</w:t>
        </w:r>
      </w:hyperlink>
      <w:r w:rsidRPr="00171145">
        <w:rPr>
          <w:rFonts w:cstheme="minorHAnsi"/>
        </w:rPr>
        <w:t>.</w:t>
      </w:r>
    </w:p>
    <w:p w14:paraId="69133F41" w14:textId="77777777" w:rsidR="005714A3" w:rsidRPr="00171145" w:rsidRDefault="005714A3" w:rsidP="005714A3">
      <w:pPr>
        <w:spacing w:after="0"/>
        <w:rPr>
          <w:rFonts w:cstheme="minorHAnsi"/>
        </w:rPr>
      </w:pPr>
    </w:p>
    <w:p w14:paraId="226E83BF" w14:textId="77777777" w:rsidR="005714A3" w:rsidRPr="00171145" w:rsidRDefault="005714A3" w:rsidP="005714A3">
      <w:pPr>
        <w:spacing w:after="0"/>
        <w:rPr>
          <w:rFonts w:cstheme="minorHAnsi"/>
        </w:rPr>
      </w:pPr>
      <w:r w:rsidRPr="00171145">
        <w:rPr>
          <w:rFonts w:cstheme="minorHAnsi"/>
        </w:rPr>
        <w:t>At the onset of the absence, any faculty member with assigned teaching responsibilities will need to communicate with the supervisor to ensure that appropriate action has been taken to have teaching duties covered during the absence.</w:t>
      </w:r>
    </w:p>
    <w:p w14:paraId="04C0F5C8" w14:textId="77777777" w:rsidR="005714A3" w:rsidRPr="00171145" w:rsidRDefault="005714A3" w:rsidP="005714A3">
      <w:pPr>
        <w:spacing w:after="0"/>
        <w:rPr>
          <w:rFonts w:cstheme="minorHAnsi"/>
        </w:rPr>
      </w:pPr>
    </w:p>
    <w:p w14:paraId="79A1A064" w14:textId="77777777" w:rsidR="005714A3" w:rsidRPr="00171145" w:rsidRDefault="005714A3" w:rsidP="005714A3">
      <w:pPr>
        <w:spacing w:after="0"/>
        <w:rPr>
          <w:rFonts w:cstheme="minorHAnsi"/>
        </w:rPr>
      </w:pPr>
      <w:r w:rsidRPr="00171145">
        <w:rPr>
          <w:rFonts w:cstheme="minorHAnsi"/>
        </w:rPr>
        <w:t>Following the period of paid sick leave, the faculty member will be eligible for unpaid sick leave in accordance with Penn State’s Policy HR16 - Leave of Absence without Salary (</w:t>
      </w:r>
      <w:hyperlink r:id="rId11" w:history="1">
        <w:r w:rsidRPr="00171145">
          <w:rPr>
            <w:rStyle w:val="Hyperlink"/>
            <w:rFonts w:cstheme="minorHAnsi"/>
          </w:rPr>
          <w:t>https://policy.psu.edu/policies/hr16</w:t>
        </w:r>
      </w:hyperlink>
      <w:r w:rsidRPr="00171145">
        <w:rPr>
          <w:rFonts w:cstheme="minorHAnsi"/>
        </w:rPr>
        <w:t>).</w:t>
      </w:r>
    </w:p>
    <w:p w14:paraId="48931902" w14:textId="77777777" w:rsidR="005714A3" w:rsidRPr="00171145" w:rsidRDefault="005714A3" w:rsidP="005714A3">
      <w:pPr>
        <w:spacing w:after="0"/>
        <w:rPr>
          <w:rFonts w:cstheme="minorHAnsi"/>
        </w:rPr>
      </w:pPr>
    </w:p>
    <w:p w14:paraId="1FF0EACC" w14:textId="10B95CE4" w:rsidR="005714A3" w:rsidRPr="00171145" w:rsidRDefault="005714A3" w:rsidP="005714A3">
      <w:pPr>
        <w:spacing w:after="0"/>
        <w:rPr>
          <w:rFonts w:cstheme="minorHAnsi"/>
        </w:rPr>
      </w:pPr>
      <w:r w:rsidRPr="00171145">
        <w:rPr>
          <w:rFonts w:cstheme="minorHAnsi"/>
        </w:rPr>
        <w:t xml:space="preserve">For faculty members paid </w:t>
      </w:r>
      <w:proofErr w:type="gramStart"/>
      <w:r w:rsidRPr="00171145">
        <w:rPr>
          <w:rFonts w:cstheme="minorHAnsi"/>
        </w:rPr>
        <w:t>from</w:t>
      </w:r>
      <w:proofErr w:type="gramEnd"/>
      <w:r w:rsidRPr="00171145">
        <w:rPr>
          <w:rFonts w:cstheme="minorHAnsi"/>
        </w:rPr>
        <w:t xml:space="preserve"> federal grants or contracts, budgetary arrangements for paid or unpaid sick leave must be made in accordance with agency regulations.</w:t>
      </w:r>
    </w:p>
    <w:p w14:paraId="786C50B9" w14:textId="77777777" w:rsidR="005714A3" w:rsidRPr="00171145" w:rsidRDefault="005714A3" w:rsidP="006A5171">
      <w:pPr>
        <w:pStyle w:val="Heading1"/>
      </w:pPr>
      <w:bookmarkStart w:id="2" w:name="Other"/>
      <w:r w:rsidRPr="00171145">
        <w:t>RESOURCES:</w:t>
      </w:r>
    </w:p>
    <w:bookmarkEnd w:id="2"/>
    <w:p w14:paraId="6E61C762" w14:textId="77777777" w:rsidR="005714A3" w:rsidRPr="00171145" w:rsidRDefault="005714A3" w:rsidP="005714A3">
      <w:pPr>
        <w:spacing w:after="0"/>
        <w:rPr>
          <w:rFonts w:cstheme="minorHAnsi"/>
        </w:rPr>
      </w:pPr>
      <w:r w:rsidRPr="00171145">
        <w:rPr>
          <w:rFonts w:cstheme="minorBidi"/>
          <w:sz w:val="22"/>
          <w:szCs w:val="22"/>
        </w:rPr>
        <w:fldChar w:fldCharType="begin"/>
      </w:r>
      <w:r w:rsidRPr="00171145">
        <w:rPr>
          <w:rFonts w:cstheme="minorHAnsi"/>
        </w:rPr>
        <w:instrText>HYPERLINK "https://policy.psu.edu/policies/ac61"</w:instrText>
      </w:r>
      <w:r w:rsidRPr="00171145">
        <w:rPr>
          <w:rFonts w:cstheme="minorBidi"/>
          <w:sz w:val="22"/>
          <w:szCs w:val="22"/>
        </w:rPr>
      </w:r>
      <w:r w:rsidRPr="00171145">
        <w:rPr>
          <w:rFonts w:cstheme="minorBidi"/>
          <w:sz w:val="22"/>
          <w:szCs w:val="22"/>
        </w:rPr>
        <w:fldChar w:fldCharType="separate"/>
      </w:r>
      <w:r w:rsidRPr="00171145">
        <w:rPr>
          <w:rStyle w:val="Hyperlink"/>
          <w:rFonts w:cstheme="minorHAnsi"/>
        </w:rPr>
        <w:t>AC61</w:t>
      </w:r>
      <w:r w:rsidRPr="00171145">
        <w:rPr>
          <w:rStyle w:val="Hyperlink"/>
          <w:rFonts w:cstheme="minorHAnsi"/>
        </w:rPr>
        <w:fldChar w:fldCharType="end"/>
      </w:r>
      <w:r w:rsidRPr="00171145">
        <w:rPr>
          <w:rFonts w:cstheme="minorHAnsi"/>
        </w:rPr>
        <w:t xml:space="preserve"> – Faculty Contracts</w:t>
      </w:r>
    </w:p>
    <w:p w14:paraId="382AF64F" w14:textId="77777777" w:rsidR="005714A3" w:rsidRPr="00171145" w:rsidRDefault="005714A3" w:rsidP="005714A3">
      <w:pPr>
        <w:spacing w:after="0"/>
        <w:rPr>
          <w:rFonts w:cstheme="minorHAnsi"/>
        </w:rPr>
      </w:pPr>
      <w:hyperlink r:id="rId12" w:history="1">
        <w:r w:rsidRPr="00171145">
          <w:rPr>
            <w:rStyle w:val="Hyperlink"/>
            <w:rFonts w:cstheme="minorHAnsi"/>
          </w:rPr>
          <w:t>AC76</w:t>
        </w:r>
      </w:hyperlink>
      <w:r w:rsidRPr="00171145">
        <w:rPr>
          <w:rFonts w:cstheme="minorHAnsi"/>
        </w:rPr>
        <w:t xml:space="preserve"> - Faculty Rights and Responsibilities</w:t>
      </w:r>
    </w:p>
    <w:p w14:paraId="63380A57" w14:textId="77777777" w:rsidR="005714A3" w:rsidRPr="00171145" w:rsidRDefault="005714A3" w:rsidP="005714A3">
      <w:pPr>
        <w:spacing w:after="0"/>
        <w:rPr>
          <w:rFonts w:cstheme="minorHAnsi"/>
        </w:rPr>
      </w:pPr>
      <w:hyperlink r:id="rId13" w:history="1">
        <w:r w:rsidRPr="00171145">
          <w:rPr>
            <w:rStyle w:val="Hyperlink"/>
            <w:rFonts w:cstheme="minorHAnsi"/>
          </w:rPr>
          <w:t>HR16</w:t>
        </w:r>
      </w:hyperlink>
      <w:r w:rsidRPr="00171145">
        <w:rPr>
          <w:rFonts w:cstheme="minorHAnsi"/>
        </w:rPr>
        <w:t xml:space="preserve"> – Leave of Absence without Salary</w:t>
      </w:r>
    </w:p>
    <w:p w14:paraId="77F19D0B" w14:textId="77777777" w:rsidR="005714A3" w:rsidRPr="00171145" w:rsidRDefault="005714A3" w:rsidP="005714A3">
      <w:pPr>
        <w:spacing w:after="0"/>
        <w:rPr>
          <w:rFonts w:cstheme="minorHAnsi"/>
        </w:rPr>
      </w:pPr>
      <w:hyperlink r:id="rId14" w:history="1">
        <w:r w:rsidRPr="00171145">
          <w:rPr>
            <w:rStyle w:val="Hyperlink"/>
            <w:rFonts w:cstheme="minorHAnsi"/>
          </w:rPr>
          <w:t>HRG11</w:t>
        </w:r>
      </w:hyperlink>
      <w:r w:rsidRPr="00171145">
        <w:rPr>
          <w:rFonts w:cstheme="minorHAnsi"/>
        </w:rPr>
        <w:t xml:space="preserve"> – Family and Medical Leave</w:t>
      </w:r>
    </w:p>
    <w:p w14:paraId="0B22AF5A" w14:textId="77777777" w:rsidR="005714A3" w:rsidRPr="008661D5" w:rsidRDefault="005714A3" w:rsidP="005714A3">
      <w:pPr>
        <w:spacing w:after="0"/>
        <w:rPr>
          <w:rFonts w:cstheme="minorHAnsi"/>
        </w:rPr>
      </w:pPr>
      <w:hyperlink r:id="rId15" w:history="1">
        <w:r w:rsidRPr="00171145">
          <w:rPr>
            <w:rStyle w:val="Hyperlink"/>
            <w:rFonts w:cstheme="minorHAnsi"/>
          </w:rPr>
          <w:t>HRG18</w:t>
        </w:r>
      </w:hyperlink>
      <w:r w:rsidRPr="00171145">
        <w:rPr>
          <w:rFonts w:cstheme="minorHAnsi"/>
        </w:rPr>
        <w:t xml:space="preserve"> – Paid Parental Leave for Faculty</w:t>
      </w:r>
    </w:p>
    <w:p w14:paraId="21778F74" w14:textId="77777777" w:rsidR="00C33E0B" w:rsidRDefault="00C33E0B"/>
    <w:p w14:paraId="0EFF7247" w14:textId="2536A383" w:rsidR="00C33E0B" w:rsidRPr="00171145" w:rsidRDefault="00C33E0B" w:rsidP="00C33E0B">
      <w:pPr>
        <w:spacing w:after="0"/>
        <w:rPr>
          <w:rFonts w:cstheme="minorHAnsi"/>
        </w:rPr>
      </w:pPr>
      <w:r>
        <w:rPr>
          <w:rFonts w:cstheme="minorHAnsi"/>
        </w:rPr>
        <w:t>Effective date</w:t>
      </w:r>
      <w:r w:rsidRPr="00171145">
        <w:rPr>
          <w:rFonts w:cstheme="minorHAnsi"/>
        </w:rPr>
        <w:t>: January 1, 2024</w:t>
      </w:r>
    </w:p>
    <w:p w14:paraId="28B3A64C" w14:textId="77777777" w:rsidR="00C33E0B" w:rsidRDefault="00C33E0B"/>
    <w:sectPr w:rsidR="00C33E0B" w:rsidSect="007C785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E2CF0" w14:textId="77777777" w:rsidR="003F092C" w:rsidRDefault="003F092C" w:rsidP="007C785E">
      <w:pPr>
        <w:spacing w:after="0"/>
      </w:pPr>
      <w:r>
        <w:separator/>
      </w:r>
    </w:p>
  </w:endnote>
  <w:endnote w:type="continuationSeparator" w:id="0">
    <w:p w14:paraId="5A09CE5D" w14:textId="77777777" w:rsidR="003F092C" w:rsidRDefault="003F092C" w:rsidP="007C7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F7C15" w14:textId="77777777" w:rsidR="008F47A5" w:rsidRDefault="008F4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4809195"/>
      <w:docPartObj>
        <w:docPartGallery w:val="Page Numbers (Bottom of Page)"/>
        <w:docPartUnique/>
      </w:docPartObj>
    </w:sdtPr>
    <w:sdtEndPr>
      <w:rPr>
        <w:noProof/>
      </w:rPr>
    </w:sdtEndPr>
    <w:sdtContent>
      <w:p w14:paraId="5ABB6024" w14:textId="0A6993CB" w:rsidR="008F47A5" w:rsidRDefault="008F47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85C726" w14:textId="77777777" w:rsidR="008F47A5" w:rsidRDefault="008F4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7126082"/>
      <w:docPartObj>
        <w:docPartGallery w:val="Page Numbers (Bottom of Page)"/>
        <w:docPartUnique/>
      </w:docPartObj>
    </w:sdtPr>
    <w:sdtEndPr>
      <w:rPr>
        <w:noProof/>
      </w:rPr>
    </w:sdtEndPr>
    <w:sdtContent>
      <w:p w14:paraId="4B4A9775" w14:textId="46708141" w:rsidR="008F47A5" w:rsidRDefault="008F47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3FF03" w14:textId="77777777" w:rsidR="008F47A5" w:rsidRDefault="008F4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4EFB0" w14:textId="77777777" w:rsidR="003F092C" w:rsidRDefault="003F092C" w:rsidP="007C785E">
      <w:pPr>
        <w:spacing w:after="0"/>
      </w:pPr>
      <w:r>
        <w:separator/>
      </w:r>
    </w:p>
  </w:footnote>
  <w:footnote w:type="continuationSeparator" w:id="0">
    <w:p w14:paraId="16B6247B" w14:textId="77777777" w:rsidR="003F092C" w:rsidRDefault="003F092C" w:rsidP="007C78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49AE" w14:textId="77777777" w:rsidR="008F47A5" w:rsidRDefault="008F4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F9A2" w14:textId="77777777" w:rsidR="008F47A5" w:rsidRDefault="008F47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5C32" w14:textId="77777777" w:rsidR="007C785E" w:rsidRDefault="00955F95">
    <w:pPr>
      <w:pStyle w:val="Header"/>
    </w:pPr>
    <w:r w:rsidRPr="00576A48">
      <w:rPr>
        <w:noProof/>
      </w:rPr>
      <w:drawing>
        <wp:inline distT="0" distB="0" distL="0" distR="0" wp14:anchorId="0A59EFEE" wp14:editId="375623AD">
          <wp:extent cx="2152650" cy="695325"/>
          <wp:effectExtent l="0" t="0" r="0" b="0"/>
          <wp:docPr id="1" name="Picture 1" descr="College of Earth and Mineral Sciences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Earth and Mineral Sciences wordmark"/>
                  <pic:cNvPicPr>
                    <a:picLocks noChangeAspect="1" noChangeArrowheads="1"/>
                  </pic:cNvPicPr>
                </pic:nvPicPr>
                <pic:blipFill>
                  <a:blip r:embed="rId1">
                    <a:extLst>
                      <a:ext uri="{28A0092B-C50C-407E-A947-70E740481C1C}">
                        <a14:useLocalDpi xmlns:a14="http://schemas.microsoft.com/office/drawing/2010/main" val="0"/>
                      </a:ext>
                    </a:extLst>
                  </a:blip>
                  <a:srcRect l="5450" t="14661" r="6566" b="13995"/>
                  <a:stretch>
                    <a:fillRect/>
                  </a:stretch>
                </pic:blipFill>
                <pic:spPr bwMode="auto">
                  <a:xfrm>
                    <a:off x="0" y="0"/>
                    <a:ext cx="21526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B8A"/>
    <w:multiLevelType w:val="multilevel"/>
    <w:tmpl w:val="0409001D"/>
    <w:numStyleLink w:val="Multi-levellistsnumbered"/>
  </w:abstractNum>
  <w:abstractNum w:abstractNumId="1" w15:restartNumberingAfterBreak="0">
    <w:nsid w:val="0703211C"/>
    <w:multiLevelType w:val="hybridMultilevel"/>
    <w:tmpl w:val="DFDEDE76"/>
    <w:lvl w:ilvl="0" w:tplc="0066C706">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CB24D2"/>
    <w:multiLevelType w:val="multilevel"/>
    <w:tmpl w:val="8454EEEC"/>
    <w:numStyleLink w:val="multi-listnumerals"/>
  </w:abstractNum>
  <w:abstractNum w:abstractNumId="3" w15:restartNumberingAfterBreak="0">
    <w:nsid w:val="3D5E7463"/>
    <w:multiLevelType w:val="hybridMultilevel"/>
    <w:tmpl w:val="9A3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262A8"/>
    <w:multiLevelType w:val="multilevel"/>
    <w:tmpl w:val="0409001D"/>
    <w:styleLink w:val="Multi-levellistsnumbered"/>
    <w:lvl w:ilvl="0">
      <w:start w:val="1"/>
      <w:numFmt w:val="decimal"/>
      <w:lvlText w:val="%1)"/>
      <w:lvlJc w:val="left"/>
      <w:pPr>
        <w:ind w:left="360" w:hanging="360"/>
      </w:pPr>
      <w:rPr>
        <w:rFonts w:ascii="Rockwell" w:hAnsi="Rockwell"/>
        <w:color w:val="auto"/>
        <w:sz w:val="24"/>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2B648D6"/>
    <w:multiLevelType w:val="multilevel"/>
    <w:tmpl w:val="8454EEEC"/>
    <w:styleLink w:val="multi-listnumerals"/>
    <w:lvl w:ilvl="0">
      <w:start w:val="1"/>
      <w:numFmt w:val="decimal"/>
      <w:pStyle w:val="multi-levellistNumeric"/>
      <w:lvlText w:val="%1."/>
      <w:lvlJc w:val="left"/>
      <w:pPr>
        <w:ind w:left="360" w:hanging="360"/>
      </w:pPr>
      <w:rPr>
        <w:rFonts w:ascii="Rockwell" w:hAnsi="Rockwell" w:hint="default"/>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43B7375"/>
    <w:multiLevelType w:val="hybridMultilevel"/>
    <w:tmpl w:val="1A685480"/>
    <w:lvl w:ilvl="0" w:tplc="C3D8C008">
      <w:start w:val="1"/>
      <w:numFmt w:val="bullet"/>
      <w:pStyle w:val="ListBulleted"/>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1052A"/>
    <w:multiLevelType w:val="multilevel"/>
    <w:tmpl w:val="8454EEEC"/>
    <w:numStyleLink w:val="multi-listnumerals"/>
  </w:abstractNum>
  <w:num w:numId="1" w16cid:durableId="850803997">
    <w:abstractNumId w:val="3"/>
  </w:num>
  <w:num w:numId="2" w16cid:durableId="1302341947">
    <w:abstractNumId w:val="1"/>
  </w:num>
  <w:num w:numId="3" w16cid:durableId="395980122">
    <w:abstractNumId w:val="5"/>
  </w:num>
  <w:num w:numId="4" w16cid:durableId="539165738">
    <w:abstractNumId w:val="7"/>
  </w:num>
  <w:num w:numId="5" w16cid:durableId="953170737">
    <w:abstractNumId w:val="2"/>
  </w:num>
  <w:num w:numId="6" w16cid:durableId="1055129881">
    <w:abstractNumId w:val="4"/>
  </w:num>
  <w:num w:numId="7" w16cid:durableId="888496554">
    <w:abstractNumId w:val="0"/>
  </w:num>
  <w:num w:numId="8" w16cid:durableId="949631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0E"/>
    <w:rsid w:val="0002373D"/>
    <w:rsid w:val="00145983"/>
    <w:rsid w:val="00145D75"/>
    <w:rsid w:val="00183D37"/>
    <w:rsid w:val="002713EB"/>
    <w:rsid w:val="002F6D64"/>
    <w:rsid w:val="003D33A0"/>
    <w:rsid w:val="003F092C"/>
    <w:rsid w:val="003F4F2A"/>
    <w:rsid w:val="004B79BB"/>
    <w:rsid w:val="005714A3"/>
    <w:rsid w:val="00595021"/>
    <w:rsid w:val="006148E2"/>
    <w:rsid w:val="00631689"/>
    <w:rsid w:val="006665F9"/>
    <w:rsid w:val="006A5171"/>
    <w:rsid w:val="006B3907"/>
    <w:rsid w:val="006F52B3"/>
    <w:rsid w:val="00733AF5"/>
    <w:rsid w:val="007C785E"/>
    <w:rsid w:val="00822AD3"/>
    <w:rsid w:val="0087310E"/>
    <w:rsid w:val="008A3264"/>
    <w:rsid w:val="008C4C41"/>
    <w:rsid w:val="008F47A5"/>
    <w:rsid w:val="00955F95"/>
    <w:rsid w:val="009C001A"/>
    <w:rsid w:val="009E650F"/>
    <w:rsid w:val="00A11518"/>
    <w:rsid w:val="00A554B7"/>
    <w:rsid w:val="00A90CD5"/>
    <w:rsid w:val="00AA13EC"/>
    <w:rsid w:val="00AB0DFA"/>
    <w:rsid w:val="00AC10D3"/>
    <w:rsid w:val="00AE3DBD"/>
    <w:rsid w:val="00B16546"/>
    <w:rsid w:val="00C01E7E"/>
    <w:rsid w:val="00C33E0B"/>
    <w:rsid w:val="00C65AD6"/>
    <w:rsid w:val="00C90606"/>
    <w:rsid w:val="00D44309"/>
    <w:rsid w:val="00D74A4D"/>
    <w:rsid w:val="00DF306A"/>
    <w:rsid w:val="00E90522"/>
    <w:rsid w:val="00EA3A1C"/>
    <w:rsid w:val="00EE2093"/>
    <w:rsid w:val="00EF3B62"/>
    <w:rsid w:val="00F56BFD"/>
    <w:rsid w:val="00FB1F4C"/>
    <w:rsid w:val="00FC341B"/>
    <w:rsid w:val="00FE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2F2AA"/>
  <w15:chartTrackingRefBased/>
  <w15:docId w15:val="{61EEAA36-2D27-4936-8ED3-30C9819C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3D"/>
    <w:pPr>
      <w:spacing w:after="240"/>
    </w:pPr>
    <w:rPr>
      <w:rFonts w:ascii="Rockwell" w:hAnsi="Rockwell"/>
      <w:kern w:val="2"/>
      <w:sz w:val="24"/>
      <w:szCs w:val="24"/>
    </w:rPr>
  </w:style>
  <w:style w:type="paragraph" w:styleId="Heading1">
    <w:name w:val="heading 1"/>
    <w:basedOn w:val="Normal"/>
    <w:next w:val="Normal"/>
    <w:link w:val="Heading1Char"/>
    <w:uiPriority w:val="9"/>
    <w:qFormat/>
    <w:rsid w:val="0002373D"/>
    <w:pPr>
      <w:keepNext/>
      <w:keepLines/>
      <w:spacing w:before="240" w:after="120"/>
      <w:outlineLvl w:val="0"/>
    </w:pPr>
    <w:rPr>
      <w:rFonts w:ascii="Franklin Gothic Medium" w:eastAsia="Times New Roman" w:hAnsi="Franklin Gothic Medium"/>
      <w:caps/>
      <w:color w:val="0F4761"/>
      <w:sz w:val="40"/>
      <w:szCs w:val="40"/>
    </w:rPr>
  </w:style>
  <w:style w:type="paragraph" w:styleId="Heading2">
    <w:name w:val="heading 2"/>
    <w:basedOn w:val="Normal"/>
    <w:next w:val="Normal"/>
    <w:link w:val="Heading2Char"/>
    <w:uiPriority w:val="9"/>
    <w:unhideWhenUsed/>
    <w:qFormat/>
    <w:rsid w:val="003F4F2A"/>
    <w:pPr>
      <w:keepNext/>
      <w:keepLines/>
      <w:spacing w:before="240" w:after="120"/>
      <w:outlineLvl w:val="1"/>
    </w:pPr>
    <w:rPr>
      <w:rFonts w:ascii="Franklin Gothic Medium" w:eastAsia="Times New Roman" w:hAnsi="Franklin Gothic Medium"/>
      <w:color w:val="007CB1"/>
      <w:sz w:val="32"/>
      <w:szCs w:val="32"/>
    </w:rPr>
  </w:style>
  <w:style w:type="paragraph" w:styleId="Heading3">
    <w:name w:val="heading 3"/>
    <w:basedOn w:val="Normal"/>
    <w:next w:val="Normal"/>
    <w:link w:val="Heading3Char"/>
    <w:uiPriority w:val="9"/>
    <w:unhideWhenUsed/>
    <w:qFormat/>
    <w:rsid w:val="00DF306A"/>
    <w:pPr>
      <w:keepNext/>
      <w:keepLines/>
      <w:spacing w:before="240" w:after="120"/>
      <w:outlineLvl w:val="2"/>
    </w:pPr>
    <w:rPr>
      <w:rFonts w:eastAsia="Times New Roman"/>
      <w:color w:val="007CB1"/>
      <w:sz w:val="28"/>
      <w:szCs w:val="28"/>
    </w:rPr>
  </w:style>
  <w:style w:type="paragraph" w:styleId="Heading4">
    <w:name w:val="heading 4"/>
    <w:basedOn w:val="Normal"/>
    <w:next w:val="Normal"/>
    <w:link w:val="Heading4Char"/>
    <w:uiPriority w:val="9"/>
    <w:semiHidden/>
    <w:unhideWhenUsed/>
    <w:qFormat/>
    <w:rsid w:val="002713E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713E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713E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713E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713E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713E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373D"/>
    <w:rPr>
      <w:rFonts w:ascii="Franklin Gothic Medium" w:eastAsia="Times New Roman" w:hAnsi="Franklin Gothic Medium"/>
      <w:caps/>
      <w:color w:val="0F4761"/>
      <w:kern w:val="2"/>
      <w:sz w:val="40"/>
      <w:szCs w:val="40"/>
    </w:rPr>
  </w:style>
  <w:style w:type="character" w:customStyle="1" w:styleId="Heading2Char">
    <w:name w:val="Heading 2 Char"/>
    <w:link w:val="Heading2"/>
    <w:uiPriority w:val="9"/>
    <w:rsid w:val="003F4F2A"/>
    <w:rPr>
      <w:rFonts w:ascii="Franklin Gothic Medium" w:eastAsia="Times New Roman" w:hAnsi="Franklin Gothic Medium"/>
      <w:color w:val="007CB1"/>
      <w:kern w:val="2"/>
      <w:sz w:val="32"/>
      <w:szCs w:val="32"/>
    </w:rPr>
  </w:style>
  <w:style w:type="character" w:customStyle="1" w:styleId="Heading3Char">
    <w:name w:val="Heading 3 Char"/>
    <w:link w:val="Heading3"/>
    <w:uiPriority w:val="9"/>
    <w:rsid w:val="00DF306A"/>
    <w:rPr>
      <w:rFonts w:ascii="Rockwell" w:eastAsia="Times New Roman" w:hAnsi="Rockwell"/>
      <w:color w:val="007CB1"/>
      <w:kern w:val="2"/>
      <w:sz w:val="28"/>
      <w:szCs w:val="28"/>
    </w:rPr>
  </w:style>
  <w:style w:type="character" w:customStyle="1" w:styleId="Heading4Char">
    <w:name w:val="Heading 4 Char"/>
    <w:link w:val="Heading4"/>
    <w:uiPriority w:val="9"/>
    <w:semiHidden/>
    <w:rsid w:val="002713EB"/>
    <w:rPr>
      <w:rFonts w:eastAsia="Times New Roman" w:cs="Times New Roman"/>
      <w:i/>
      <w:iCs/>
      <w:color w:val="0F4761"/>
    </w:rPr>
  </w:style>
  <w:style w:type="character" w:customStyle="1" w:styleId="Heading5Char">
    <w:name w:val="Heading 5 Char"/>
    <w:link w:val="Heading5"/>
    <w:uiPriority w:val="9"/>
    <w:semiHidden/>
    <w:rsid w:val="002713EB"/>
    <w:rPr>
      <w:rFonts w:eastAsia="Times New Roman" w:cs="Times New Roman"/>
      <w:color w:val="0F4761"/>
    </w:rPr>
  </w:style>
  <w:style w:type="character" w:customStyle="1" w:styleId="Heading6Char">
    <w:name w:val="Heading 6 Char"/>
    <w:link w:val="Heading6"/>
    <w:uiPriority w:val="9"/>
    <w:semiHidden/>
    <w:rsid w:val="002713EB"/>
    <w:rPr>
      <w:rFonts w:eastAsia="Times New Roman" w:cs="Times New Roman"/>
      <w:i/>
      <w:iCs/>
      <w:color w:val="595959"/>
    </w:rPr>
  </w:style>
  <w:style w:type="character" w:customStyle="1" w:styleId="Heading7Char">
    <w:name w:val="Heading 7 Char"/>
    <w:link w:val="Heading7"/>
    <w:uiPriority w:val="9"/>
    <w:semiHidden/>
    <w:rsid w:val="002713EB"/>
    <w:rPr>
      <w:rFonts w:eastAsia="Times New Roman" w:cs="Times New Roman"/>
      <w:color w:val="595959"/>
    </w:rPr>
  </w:style>
  <w:style w:type="character" w:customStyle="1" w:styleId="Heading8Char">
    <w:name w:val="Heading 8 Char"/>
    <w:link w:val="Heading8"/>
    <w:uiPriority w:val="9"/>
    <w:semiHidden/>
    <w:rsid w:val="002713EB"/>
    <w:rPr>
      <w:rFonts w:eastAsia="Times New Roman" w:cs="Times New Roman"/>
      <w:i/>
      <w:iCs/>
      <w:color w:val="272727"/>
    </w:rPr>
  </w:style>
  <w:style w:type="character" w:customStyle="1" w:styleId="Heading9Char">
    <w:name w:val="Heading 9 Char"/>
    <w:link w:val="Heading9"/>
    <w:uiPriority w:val="9"/>
    <w:semiHidden/>
    <w:rsid w:val="002713EB"/>
    <w:rPr>
      <w:rFonts w:eastAsia="Times New Roman" w:cs="Times New Roman"/>
      <w:color w:val="272727"/>
    </w:rPr>
  </w:style>
  <w:style w:type="paragraph" w:styleId="Title">
    <w:name w:val="Title"/>
    <w:basedOn w:val="Normal"/>
    <w:next w:val="Normal"/>
    <w:link w:val="TitleChar"/>
    <w:uiPriority w:val="10"/>
    <w:qFormat/>
    <w:rsid w:val="00AA13EC"/>
    <w:pPr>
      <w:spacing w:before="240"/>
      <w:contextualSpacing/>
    </w:pPr>
    <w:rPr>
      <w:rFonts w:eastAsia="Times New Roman"/>
      <w:b/>
      <w:caps/>
      <w:color w:val="1E407C"/>
      <w:spacing w:val="-10"/>
      <w:kern w:val="28"/>
      <w:sz w:val="44"/>
      <w:szCs w:val="56"/>
    </w:rPr>
  </w:style>
  <w:style w:type="character" w:customStyle="1" w:styleId="TitleChar">
    <w:name w:val="Title Char"/>
    <w:link w:val="Title"/>
    <w:uiPriority w:val="10"/>
    <w:rsid w:val="00AA13EC"/>
    <w:rPr>
      <w:rFonts w:ascii="Rockwell" w:eastAsia="Times New Roman" w:hAnsi="Rockwell"/>
      <w:b/>
      <w:caps/>
      <w:color w:val="1E407C"/>
      <w:spacing w:val="-10"/>
      <w:kern w:val="28"/>
      <w:sz w:val="44"/>
      <w:szCs w:val="56"/>
    </w:rPr>
  </w:style>
  <w:style w:type="paragraph" w:styleId="Quote">
    <w:name w:val="Quote"/>
    <w:basedOn w:val="Normal"/>
    <w:next w:val="Normal"/>
    <w:link w:val="QuoteChar"/>
    <w:uiPriority w:val="29"/>
    <w:qFormat/>
    <w:rsid w:val="002713EB"/>
    <w:pPr>
      <w:spacing w:before="160"/>
      <w:jc w:val="center"/>
    </w:pPr>
    <w:rPr>
      <w:i/>
      <w:iCs/>
      <w:color w:val="404040"/>
    </w:rPr>
  </w:style>
  <w:style w:type="character" w:customStyle="1" w:styleId="QuoteChar">
    <w:name w:val="Quote Char"/>
    <w:link w:val="Quote"/>
    <w:uiPriority w:val="29"/>
    <w:rsid w:val="002713EB"/>
    <w:rPr>
      <w:i/>
      <w:iCs/>
      <w:color w:val="404040"/>
    </w:rPr>
  </w:style>
  <w:style w:type="paragraph" w:styleId="ListParagraph">
    <w:name w:val="List Paragraph"/>
    <w:basedOn w:val="Normal"/>
    <w:link w:val="ListParagraphChar"/>
    <w:uiPriority w:val="34"/>
    <w:qFormat/>
    <w:rsid w:val="00EA3A1C"/>
    <w:pPr>
      <w:numPr>
        <w:numId w:val="2"/>
      </w:numPr>
      <w:ind w:left="360"/>
      <w:contextualSpacing/>
    </w:pPr>
  </w:style>
  <w:style w:type="character" w:styleId="IntenseEmphasis">
    <w:name w:val="Intense Emphasis"/>
    <w:uiPriority w:val="21"/>
    <w:qFormat/>
    <w:rsid w:val="002713EB"/>
    <w:rPr>
      <w:i/>
      <w:iCs/>
      <w:color w:val="0F4761"/>
    </w:rPr>
  </w:style>
  <w:style w:type="paragraph" w:styleId="IntenseQuote">
    <w:name w:val="Intense Quote"/>
    <w:basedOn w:val="Normal"/>
    <w:next w:val="Normal"/>
    <w:link w:val="IntenseQuoteChar"/>
    <w:uiPriority w:val="30"/>
    <w:qFormat/>
    <w:rsid w:val="002713E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713EB"/>
    <w:rPr>
      <w:i/>
      <w:iCs/>
      <w:color w:val="0F4761"/>
    </w:rPr>
  </w:style>
  <w:style w:type="character" w:styleId="IntenseReference">
    <w:name w:val="Intense Reference"/>
    <w:uiPriority w:val="32"/>
    <w:rsid w:val="002713EB"/>
    <w:rPr>
      <w:b/>
      <w:bCs/>
      <w:smallCaps/>
      <w:color w:val="0F4761"/>
      <w:spacing w:val="5"/>
    </w:rPr>
  </w:style>
  <w:style w:type="paragraph" w:styleId="Header">
    <w:name w:val="header"/>
    <w:basedOn w:val="Normal"/>
    <w:link w:val="HeaderChar"/>
    <w:uiPriority w:val="99"/>
    <w:unhideWhenUsed/>
    <w:rsid w:val="007C785E"/>
    <w:pPr>
      <w:tabs>
        <w:tab w:val="center" w:pos="4680"/>
        <w:tab w:val="right" w:pos="9360"/>
      </w:tabs>
      <w:spacing w:after="0"/>
    </w:pPr>
  </w:style>
  <w:style w:type="character" w:customStyle="1" w:styleId="HeaderChar">
    <w:name w:val="Header Char"/>
    <w:basedOn w:val="DefaultParagraphFont"/>
    <w:link w:val="Header"/>
    <w:uiPriority w:val="99"/>
    <w:rsid w:val="007C785E"/>
  </w:style>
  <w:style w:type="paragraph" w:styleId="Footer">
    <w:name w:val="footer"/>
    <w:basedOn w:val="Normal"/>
    <w:link w:val="FooterChar"/>
    <w:uiPriority w:val="99"/>
    <w:unhideWhenUsed/>
    <w:rsid w:val="007C785E"/>
    <w:pPr>
      <w:tabs>
        <w:tab w:val="center" w:pos="4680"/>
        <w:tab w:val="right" w:pos="9360"/>
      </w:tabs>
      <w:spacing w:after="0"/>
    </w:pPr>
  </w:style>
  <w:style w:type="character" w:customStyle="1" w:styleId="FooterChar">
    <w:name w:val="Footer Char"/>
    <w:basedOn w:val="DefaultParagraphFont"/>
    <w:link w:val="Footer"/>
    <w:uiPriority w:val="99"/>
    <w:rsid w:val="007C785E"/>
  </w:style>
  <w:style w:type="numbering" w:customStyle="1" w:styleId="multi-listnumerals">
    <w:name w:val="multi-list numerals"/>
    <w:uiPriority w:val="99"/>
    <w:rsid w:val="00A554B7"/>
    <w:pPr>
      <w:numPr>
        <w:numId w:val="3"/>
      </w:numPr>
    </w:pPr>
  </w:style>
  <w:style w:type="numbering" w:customStyle="1" w:styleId="Multi-levellistsnumbered">
    <w:name w:val="Multi-level lists numbered"/>
    <w:uiPriority w:val="99"/>
    <w:rsid w:val="00A554B7"/>
    <w:pPr>
      <w:numPr>
        <w:numId w:val="6"/>
      </w:numPr>
    </w:pPr>
  </w:style>
  <w:style w:type="paragraph" w:customStyle="1" w:styleId="multi-levellistNumeric">
    <w:name w:val="multi-level list Numeric"/>
    <w:basedOn w:val="Normal"/>
    <w:link w:val="multi-levellistNumericChar"/>
    <w:qFormat/>
    <w:rsid w:val="00D44309"/>
    <w:pPr>
      <w:numPr>
        <w:numId w:val="5"/>
      </w:numPr>
      <w:spacing w:after="60"/>
    </w:pPr>
  </w:style>
  <w:style w:type="character" w:customStyle="1" w:styleId="ListParagraphChar">
    <w:name w:val="List Paragraph Char"/>
    <w:basedOn w:val="DefaultParagraphFont"/>
    <w:link w:val="ListParagraph"/>
    <w:uiPriority w:val="34"/>
    <w:rsid w:val="00EA3A1C"/>
    <w:rPr>
      <w:rFonts w:ascii="Rockwell" w:hAnsi="Rockwell"/>
      <w:kern w:val="2"/>
      <w:sz w:val="24"/>
      <w:szCs w:val="24"/>
    </w:rPr>
  </w:style>
  <w:style w:type="character" w:customStyle="1" w:styleId="multi-levellistNumericChar">
    <w:name w:val="multi-level list Numeric Char"/>
    <w:basedOn w:val="ListParagraphChar"/>
    <w:link w:val="multi-levellistNumeric"/>
    <w:rsid w:val="00D44309"/>
    <w:rPr>
      <w:rFonts w:ascii="Rockwell" w:hAnsi="Rockwell"/>
      <w:kern w:val="2"/>
      <w:sz w:val="24"/>
      <w:szCs w:val="24"/>
    </w:rPr>
  </w:style>
  <w:style w:type="paragraph" w:customStyle="1" w:styleId="ListBulleted">
    <w:name w:val="List Bulleted"/>
    <w:basedOn w:val="Normal"/>
    <w:link w:val="ListBulletedChar"/>
    <w:qFormat/>
    <w:rsid w:val="00D44309"/>
    <w:pPr>
      <w:numPr>
        <w:numId w:val="8"/>
      </w:numPr>
      <w:spacing w:after="60"/>
      <w:ind w:left="360"/>
    </w:pPr>
  </w:style>
  <w:style w:type="character" w:customStyle="1" w:styleId="ListBulletedChar">
    <w:name w:val="List Bulleted Char"/>
    <w:basedOn w:val="DefaultParagraphFont"/>
    <w:link w:val="ListBulleted"/>
    <w:rsid w:val="00D44309"/>
    <w:rPr>
      <w:rFonts w:ascii="Rockwell" w:hAnsi="Rockwell"/>
      <w:kern w:val="2"/>
      <w:sz w:val="24"/>
      <w:szCs w:val="24"/>
    </w:rPr>
  </w:style>
  <w:style w:type="character" w:styleId="Hyperlink">
    <w:name w:val="Hyperlink"/>
    <w:basedOn w:val="DefaultParagraphFont"/>
    <w:uiPriority w:val="99"/>
    <w:unhideWhenUsed/>
    <w:rsid w:val="006F52B3"/>
    <w:rPr>
      <w:color w:val="467886" w:themeColor="hyperlink"/>
      <w:u w:val="single"/>
    </w:rPr>
  </w:style>
  <w:style w:type="table" w:styleId="TableGrid">
    <w:name w:val="Table Grid"/>
    <w:basedOn w:val="TableNormal"/>
    <w:uiPriority w:val="39"/>
    <w:rsid w:val="005714A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950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y.psu.edu/policies/hr1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policy.psu.edu/policies/ac7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y.psu.edu/policies/hr16" TargetMode="External"/><Relationship Id="rId5" Type="http://schemas.openxmlformats.org/officeDocument/2006/relationships/styles" Target="styles.xml"/><Relationship Id="rId15" Type="http://schemas.openxmlformats.org/officeDocument/2006/relationships/hyperlink" Target="https://policy.psu.edu/policies/hrg18" TargetMode="External"/><Relationship Id="rId23" Type="http://schemas.openxmlformats.org/officeDocument/2006/relationships/theme" Target="theme/theme1.xml"/><Relationship Id="rId10" Type="http://schemas.openxmlformats.org/officeDocument/2006/relationships/hyperlink" Target="https://policy.psu.edu/policies/hrg11"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psu.edu/policies/hrg11"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k17\OneDrive%20-%20The%20Pennsylvania%20State%20University\Documents%20-%20CEDO\Policies%20and%20Guidelines\EMS%20Word%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314f42-8d66-45d7-a590-fb54340608bd">
      <Terms xmlns="http://schemas.microsoft.com/office/infopath/2007/PartnerControls"/>
    </lcf76f155ced4ddcb4097134ff3c332f>
    <TaxCatchAll xmlns="b7f1cb50-daf7-48c9-be60-f9ff6b6633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1485F-16EC-4A03-B083-A7CE567AE7E4}">
  <ds:schemaRefs>
    <ds:schemaRef ds:uri="http://schemas.microsoft.com/office/2006/metadata/properties"/>
    <ds:schemaRef ds:uri="http://schemas.microsoft.com/office/infopath/2007/PartnerControls"/>
    <ds:schemaRef ds:uri="f4314f42-8d66-45d7-a590-fb54340608bd"/>
    <ds:schemaRef ds:uri="b7f1cb50-daf7-48c9-be60-f9ff6b6633aa"/>
  </ds:schemaRefs>
</ds:datastoreItem>
</file>

<file path=customXml/itemProps2.xml><?xml version="1.0" encoding="utf-8"?>
<ds:datastoreItem xmlns:ds="http://schemas.openxmlformats.org/officeDocument/2006/customXml" ds:itemID="{94385A57-1B0D-4C3B-AF1C-B533D9979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D412D-6554-41A5-BA91-F75E34E92110}">
  <ds:schemaRefs>
    <ds:schemaRef ds:uri="http://schemas.microsoft.com/sharepoint/v3/contenttype/form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EMS Word template2</Template>
  <TotalTime>2</TotalTime>
  <Pages>2</Pages>
  <Words>485</Words>
  <Characters>2770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Links>
    <vt:vector size="6" baseType="variant">
      <vt:variant>
        <vt:i4>1638475</vt:i4>
      </vt:variant>
      <vt:variant>
        <vt:i4>0</vt:i4>
      </vt:variant>
      <vt:variant>
        <vt:i4>0</vt:i4>
      </vt:variant>
      <vt:variant>
        <vt:i4>5</vt:i4>
      </vt:variant>
      <vt:variant>
        <vt:lpwstr>https://policy.psu.edu/policies/ac14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Kiver, Nicola Marie</dc:creator>
  <cp:keywords/>
  <dc:description/>
  <cp:lastModifiedBy>Craig, Patricia Lee</cp:lastModifiedBy>
  <cp:revision>2</cp:revision>
  <dcterms:created xsi:type="dcterms:W3CDTF">2025-05-19T18:40:00Z</dcterms:created>
  <dcterms:modified xsi:type="dcterms:W3CDTF">2025-05-19T18:40:00Z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0x010100DF00C4AF76F33C4EB64A9780A2FDA46F</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lcf76f155ced4ddcb4097134ff3c332f">
    <vt:lpwstr/>
  </property>
  <property fmtid="{D5CDD505-2E9C-101B-9397-08002B2CF9AE}" pid="11" name="TaxCatchAll">
    <vt:lpwstr/>
  </property>
</Properties>
</file>